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10" w:rsidRDefault="004C190B">
      <w:pPr>
        <w:spacing w:after="0"/>
        <w:jc w:val="center"/>
      </w:pPr>
      <w:bookmarkStart w:id="0" w:name="_GoBack"/>
      <w:bookmarkEnd w:id="0"/>
      <w:r>
        <w:rPr>
          <w:noProof/>
          <w:lang w:eastAsia="en-GB"/>
        </w:rPr>
        <w:drawing>
          <wp:inline distT="0" distB="0" distL="0" distR="0">
            <wp:extent cx="1819275" cy="745398"/>
            <wp:effectExtent l="0" t="0" r="0" b="0"/>
            <wp:docPr id="1" name="Picture 1" descr="G:\My Drive\Logos\Banner_Logo_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Logos\Banner_Logo_RGB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008" cy="752254"/>
                    </a:xfrm>
                    <a:prstGeom prst="rect">
                      <a:avLst/>
                    </a:prstGeom>
                    <a:noFill/>
                    <a:ln>
                      <a:noFill/>
                    </a:ln>
                  </pic:spPr>
                </pic:pic>
              </a:graphicData>
            </a:graphic>
          </wp:inline>
        </w:drawing>
      </w:r>
    </w:p>
    <w:p w:rsidR="00F82810" w:rsidRDefault="00F82810">
      <w:pPr>
        <w:spacing w:after="0"/>
        <w:jc w:val="center"/>
      </w:pPr>
    </w:p>
    <w:p w:rsidR="00F82810" w:rsidRDefault="004C190B">
      <w:pPr>
        <w:spacing w:after="0"/>
        <w:jc w:val="center"/>
        <w:rPr>
          <w:rFonts w:ascii="Roboto" w:hAnsi="Roboto"/>
          <w:b/>
          <w:sz w:val="32"/>
          <w:szCs w:val="32"/>
        </w:rPr>
      </w:pPr>
      <w:r>
        <w:rPr>
          <w:rFonts w:ascii="Roboto" w:hAnsi="Roboto"/>
          <w:b/>
          <w:sz w:val="32"/>
          <w:szCs w:val="32"/>
        </w:rPr>
        <w:t>Head of Faculty – Maths/Computing</w:t>
      </w:r>
    </w:p>
    <w:p w:rsidR="00F82810" w:rsidRDefault="004C190B">
      <w:pPr>
        <w:spacing w:after="0"/>
        <w:jc w:val="center"/>
        <w:rPr>
          <w:rFonts w:ascii="Roboto" w:hAnsi="Roboto"/>
          <w:b/>
          <w:sz w:val="32"/>
          <w:szCs w:val="32"/>
        </w:rPr>
      </w:pPr>
      <w:r>
        <w:rPr>
          <w:rFonts w:ascii="Roboto" w:hAnsi="Roboto"/>
          <w:b/>
          <w:sz w:val="32"/>
          <w:szCs w:val="32"/>
        </w:rPr>
        <w:t>Person Specification</w:t>
      </w:r>
    </w:p>
    <w:p w:rsidR="00F82810" w:rsidRDefault="00F82810">
      <w:pPr>
        <w:spacing w:after="0"/>
        <w:rPr>
          <w:rFonts w:ascii="Roboto" w:hAnsi="Roboto"/>
          <w:b/>
        </w:rPr>
      </w:pPr>
    </w:p>
    <w:tbl>
      <w:tblPr>
        <w:tblStyle w:val="TableGrid"/>
        <w:tblW w:w="0" w:type="auto"/>
        <w:tblInd w:w="288" w:type="dxa"/>
        <w:tblLook w:val="04A0" w:firstRow="1" w:lastRow="0" w:firstColumn="1" w:lastColumn="0" w:noHBand="0" w:noVBand="1"/>
      </w:tblPr>
      <w:tblGrid>
        <w:gridCol w:w="6795"/>
        <w:gridCol w:w="1488"/>
        <w:gridCol w:w="1489"/>
      </w:tblGrid>
      <w:tr w:rsidR="00F82810">
        <w:tc>
          <w:tcPr>
            <w:tcW w:w="6795" w:type="dxa"/>
            <w:tcBorders>
              <w:top w:val="single" w:sz="4" w:space="0" w:color="auto"/>
              <w:left w:val="single" w:sz="4" w:space="0" w:color="auto"/>
              <w:bottom w:val="single" w:sz="4" w:space="0" w:color="auto"/>
              <w:right w:val="single" w:sz="4" w:space="0" w:color="FFFFFF" w:themeColor="background1"/>
            </w:tcBorders>
            <w:shd w:val="clear" w:color="auto" w:fill="002060"/>
          </w:tcPr>
          <w:p w:rsidR="00F82810" w:rsidRDefault="004C190B">
            <w:pPr>
              <w:pStyle w:val="BulletPointStyle"/>
              <w:numPr>
                <w:ilvl w:val="0"/>
                <w:numId w:val="0"/>
              </w:numPr>
              <w:rPr>
                <w:color w:val="FFFFFF" w:themeColor="background1"/>
                <w:sz w:val="22"/>
              </w:rPr>
            </w:pPr>
            <w:r>
              <w:rPr>
                <w:color w:val="FFFFFF" w:themeColor="background1"/>
                <w:sz w:val="22"/>
              </w:rPr>
              <w:t>QUALIFICATIONS AND EXPERIENCE</w:t>
            </w:r>
          </w:p>
        </w:tc>
        <w:tc>
          <w:tcPr>
            <w:tcW w:w="14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tcBorders>
              <w:top w:val="single" w:sz="4" w:space="0" w:color="auto"/>
              <w:left w:val="single" w:sz="4" w:space="0" w:color="FFFFFF" w:themeColor="background1"/>
              <w:bottom w:val="single" w:sz="4" w:space="0" w:color="auto"/>
              <w:right w:val="single" w:sz="4" w:space="0" w:color="auto"/>
            </w:tcBorders>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F82810">
        <w:tc>
          <w:tcPr>
            <w:tcW w:w="6795" w:type="dxa"/>
            <w:tcBorders>
              <w:top w:val="single" w:sz="4" w:space="0" w:color="auto"/>
            </w:tcBorders>
          </w:tcPr>
          <w:p w:rsidR="00F82810" w:rsidRDefault="004C190B">
            <w:pPr>
              <w:pStyle w:val="BulletPointStyle"/>
              <w:ind w:left="284" w:hanging="284"/>
              <w:rPr>
                <w:sz w:val="22"/>
              </w:rPr>
            </w:pPr>
            <w:r>
              <w:rPr>
                <w:sz w:val="22"/>
              </w:rPr>
              <w:t xml:space="preserve">Qualified teacher status </w:t>
            </w:r>
            <w:r>
              <w:rPr>
                <w:sz w:val="22"/>
              </w:rPr>
              <w:t></w:t>
            </w:r>
          </w:p>
        </w:tc>
        <w:tc>
          <w:tcPr>
            <w:tcW w:w="1488" w:type="dxa"/>
            <w:tcBorders>
              <w:top w:val="single" w:sz="4" w:space="0" w:color="auto"/>
            </w:tcBorders>
          </w:tcPr>
          <w:p w:rsidR="00F82810" w:rsidRDefault="004C190B">
            <w:pPr>
              <w:pStyle w:val="HeadingStyleOne"/>
              <w:ind w:left="446" w:hanging="284"/>
              <w:jc w:val="center"/>
              <w:rPr>
                <w:rFonts w:ascii="Roboto" w:hAnsi="Roboto"/>
                <w:sz w:val="22"/>
                <w:szCs w:val="22"/>
              </w:rPr>
            </w:pPr>
            <w:r>
              <w:rPr>
                <w:rFonts w:ascii="Roboto" w:hAnsi="Roboto"/>
                <w:sz w:val="22"/>
                <w:szCs w:val="22"/>
              </w:rPr>
              <w:sym w:font="Wingdings" w:char="F0FC"/>
            </w:r>
          </w:p>
        </w:tc>
        <w:tc>
          <w:tcPr>
            <w:tcW w:w="1489" w:type="dxa"/>
            <w:tcBorders>
              <w:top w:val="single" w:sz="4" w:space="0" w:color="auto"/>
            </w:tcBorders>
          </w:tcPr>
          <w:p w:rsidR="00F82810" w:rsidRDefault="00F82810">
            <w:pPr>
              <w:pStyle w:val="HeadingStyleOne"/>
              <w:ind w:left="446" w:hanging="284"/>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 xml:space="preserve">Relevant Degree </w:t>
            </w:r>
            <w:r>
              <w:rPr>
                <w:sz w:val="22"/>
              </w:rPr>
              <w:t></w:t>
            </w:r>
          </w:p>
        </w:tc>
        <w:tc>
          <w:tcPr>
            <w:tcW w:w="1488" w:type="dxa"/>
          </w:tcPr>
          <w:p w:rsidR="00F82810" w:rsidRDefault="004C190B">
            <w:pPr>
              <w:pStyle w:val="HeadingStyleOne"/>
              <w:ind w:left="446" w:hanging="284"/>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ind w:left="446" w:hanging="284"/>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Evidence of continuing professional development</w:t>
            </w:r>
          </w:p>
        </w:tc>
        <w:tc>
          <w:tcPr>
            <w:tcW w:w="1488" w:type="dxa"/>
          </w:tcPr>
          <w:p w:rsidR="00F82810" w:rsidRDefault="00F82810">
            <w:pPr>
              <w:pStyle w:val="HeadingStyleOne"/>
              <w:ind w:left="446" w:hanging="284"/>
              <w:jc w:val="center"/>
              <w:rPr>
                <w:rFonts w:ascii="Roboto" w:hAnsi="Roboto"/>
                <w:sz w:val="22"/>
                <w:szCs w:val="22"/>
              </w:rPr>
            </w:pPr>
          </w:p>
        </w:tc>
        <w:tc>
          <w:tcPr>
            <w:tcW w:w="1489" w:type="dxa"/>
          </w:tcPr>
          <w:p w:rsidR="00F82810" w:rsidRDefault="004C190B">
            <w:pPr>
              <w:pStyle w:val="HeadingStyleOne"/>
              <w:ind w:left="446" w:hanging="284"/>
              <w:jc w:val="center"/>
              <w:rPr>
                <w:rFonts w:ascii="Roboto" w:hAnsi="Roboto"/>
                <w:sz w:val="22"/>
                <w:szCs w:val="22"/>
              </w:rPr>
            </w:pPr>
            <w:r>
              <w:rPr>
                <w:rFonts w:ascii="Roboto" w:hAnsi="Roboto"/>
                <w:sz w:val="22"/>
                <w:szCs w:val="22"/>
              </w:rPr>
              <w:sym w:font="Wingdings" w:char="F0FC"/>
            </w:r>
          </w:p>
        </w:tc>
      </w:tr>
      <w:tr w:rsidR="00F82810">
        <w:tc>
          <w:tcPr>
            <w:tcW w:w="6795" w:type="dxa"/>
            <w:shd w:val="clear" w:color="auto" w:fill="002060"/>
          </w:tcPr>
          <w:p w:rsidR="00F82810" w:rsidRDefault="004C190B">
            <w:pPr>
              <w:pStyle w:val="BulletPointStyle"/>
              <w:numPr>
                <w:ilvl w:val="0"/>
                <w:numId w:val="0"/>
              </w:numPr>
              <w:rPr>
                <w:color w:val="FFFFFF" w:themeColor="background1"/>
                <w:sz w:val="22"/>
              </w:rPr>
            </w:pPr>
            <w:r>
              <w:rPr>
                <w:color w:val="FFFFFF" w:themeColor="background1"/>
                <w:sz w:val="22"/>
              </w:rPr>
              <w:t>SKILLS AND ATTRIBUTES</w:t>
            </w:r>
          </w:p>
        </w:tc>
        <w:tc>
          <w:tcPr>
            <w:tcW w:w="1488"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F82810">
        <w:tc>
          <w:tcPr>
            <w:tcW w:w="6795" w:type="dxa"/>
          </w:tcPr>
          <w:p w:rsidR="00F82810" w:rsidRDefault="004C190B">
            <w:pPr>
              <w:pStyle w:val="BulletPointStyle"/>
              <w:ind w:left="284" w:hanging="284"/>
              <w:rPr>
                <w:sz w:val="22"/>
              </w:rPr>
            </w:pPr>
            <w:r>
              <w:rPr>
                <w:sz w:val="22"/>
              </w:rPr>
              <w:t>Effective and sensitive communicator to a range of audiences</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Ability to successfully present, inform, interact, consult and negotiate</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rFonts w:cs="Arial"/>
                <w:color w:val="000000"/>
                <w:sz w:val="22"/>
              </w:rPr>
              <w:t>Sensitivity to the school ethos</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rFonts w:cs="Arial"/>
                <w:color w:val="000000"/>
                <w:sz w:val="22"/>
              </w:rPr>
            </w:pPr>
            <w:r>
              <w:rPr>
                <w:rFonts w:cs="Arial"/>
                <w:color w:val="000000"/>
                <w:sz w:val="22"/>
              </w:rPr>
              <w:t xml:space="preserve">Willingness to review and if </w:t>
            </w:r>
            <w:r>
              <w:rPr>
                <w:rFonts w:cs="Arial"/>
                <w:color w:val="000000"/>
                <w:sz w:val="22"/>
              </w:rPr>
              <w:t>necessary revise a standpoint</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rFonts w:cs="Arial"/>
                <w:color w:val="000000"/>
                <w:sz w:val="22"/>
              </w:rPr>
            </w:pPr>
            <w:r>
              <w:rPr>
                <w:rFonts w:cs="Arial"/>
                <w:color w:val="000000"/>
                <w:sz w:val="22"/>
              </w:rPr>
              <w:t>Willingness to seek advice and support when necessary</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rFonts w:cs="Arial"/>
                <w:color w:val="000000"/>
                <w:sz w:val="22"/>
              </w:rPr>
            </w:pPr>
            <w:r>
              <w:rPr>
                <w:rFonts w:cs="Arial"/>
                <w:color w:val="000000"/>
                <w:sz w:val="22"/>
              </w:rPr>
              <w:t>Approachable</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rFonts w:cs="Arial"/>
                <w:color w:val="000000"/>
                <w:sz w:val="22"/>
              </w:rPr>
            </w:pPr>
            <w:r>
              <w:rPr>
                <w:rFonts w:cs="Arial"/>
                <w:color w:val="000000"/>
                <w:sz w:val="22"/>
              </w:rPr>
              <w:t>Enthusiastic leader with ability to inspire trust and confidence</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Flexible, energetic, determined</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rFonts w:cs="Arial"/>
                <w:color w:val="000000"/>
                <w:sz w:val="22"/>
              </w:rPr>
            </w:pPr>
            <w:r>
              <w:rPr>
                <w:rFonts w:cs="Arial"/>
                <w:color w:val="000000"/>
                <w:sz w:val="22"/>
              </w:rPr>
              <w:t xml:space="preserve">Ability to foster mutual respect in </w:t>
            </w:r>
            <w:r>
              <w:rPr>
                <w:rFonts w:cs="Arial"/>
                <w:color w:val="000000"/>
                <w:sz w:val="22"/>
              </w:rPr>
              <w:t>students and adults</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Good problem solving skills</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Organised, and able to work calmly and effectively</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rFonts w:cs="Arial"/>
                <w:color w:val="000000"/>
                <w:sz w:val="22"/>
              </w:rPr>
            </w:pPr>
            <w:r>
              <w:rPr>
                <w:rFonts w:cs="Arial"/>
                <w:color w:val="000000"/>
                <w:sz w:val="22"/>
              </w:rPr>
              <w:t>Can motivate and encourage others</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Excellent ICT skills</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shd w:val="clear" w:color="auto" w:fill="002060"/>
          </w:tcPr>
          <w:p w:rsidR="00F82810" w:rsidRDefault="004C190B">
            <w:pPr>
              <w:pStyle w:val="BulletPointStyle"/>
              <w:numPr>
                <w:ilvl w:val="0"/>
                <w:numId w:val="0"/>
              </w:numPr>
              <w:rPr>
                <w:color w:val="FFFFFF" w:themeColor="background1"/>
                <w:sz w:val="22"/>
              </w:rPr>
            </w:pPr>
            <w:r>
              <w:rPr>
                <w:color w:val="FFFFFF" w:themeColor="background1"/>
                <w:sz w:val="22"/>
              </w:rPr>
              <w:t>TEACHING AND LEARNING</w:t>
            </w:r>
          </w:p>
        </w:tc>
        <w:tc>
          <w:tcPr>
            <w:tcW w:w="1488"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F82810">
        <w:tc>
          <w:tcPr>
            <w:tcW w:w="6795" w:type="dxa"/>
          </w:tcPr>
          <w:p w:rsidR="00F82810" w:rsidRDefault="004C190B">
            <w:pPr>
              <w:pStyle w:val="BulletPointStyle"/>
              <w:ind w:left="284" w:hanging="284"/>
              <w:rPr>
                <w:sz w:val="22"/>
              </w:rPr>
            </w:pPr>
            <w:r>
              <w:rPr>
                <w:sz w:val="22"/>
              </w:rPr>
              <w:t xml:space="preserve">Substantial, recent and successful </w:t>
            </w:r>
            <w:r>
              <w:rPr>
                <w:sz w:val="22"/>
              </w:rPr>
              <w:t>experience of teaching in Key Stage 3 and 4</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Knowledge of recent reforms and ability to successfully implement them</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Understanding of the use of a range of data to inform planning and underpin individual student progress</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rFonts w:cs="Arial"/>
                <w:color w:val="000000"/>
                <w:sz w:val="22"/>
              </w:rPr>
              <w:t xml:space="preserve">Understanding of, and </w:t>
            </w:r>
            <w:r>
              <w:rPr>
                <w:rFonts w:cs="Arial"/>
                <w:color w:val="000000"/>
                <w:sz w:val="22"/>
              </w:rPr>
              <w:t>ability to model the characteristics of effective teaching, learning and assessment strategies</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rFonts w:cs="Arial"/>
                <w:color w:val="000000"/>
                <w:sz w:val="22"/>
              </w:rPr>
              <w:t>Ability to monitor, evaluate and develop teaching and learning throughout the Faculty</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Experience of, and commitment to, the education of the whole person</w:t>
            </w:r>
            <w:r>
              <w:rPr>
                <w:sz w:val="22"/>
              </w:rPr>
              <w:t xml:space="preserve"> promoting social and emotional well-being in addition to academic development</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High expectations of students and colleagues</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shd w:val="clear" w:color="auto" w:fill="002060"/>
          </w:tcPr>
          <w:p w:rsidR="00F82810" w:rsidRDefault="004C190B">
            <w:pPr>
              <w:pStyle w:val="BulletPointStyle"/>
              <w:numPr>
                <w:ilvl w:val="0"/>
                <w:numId w:val="0"/>
              </w:numPr>
              <w:rPr>
                <w:color w:val="FFFFFF" w:themeColor="background1"/>
                <w:sz w:val="22"/>
              </w:rPr>
            </w:pPr>
            <w:r>
              <w:rPr>
                <w:color w:val="FFFFFF" w:themeColor="background1"/>
                <w:sz w:val="22"/>
              </w:rPr>
              <w:t>STRATEGIC DIRECTION AND DEVELOPMENT</w:t>
            </w:r>
          </w:p>
        </w:tc>
        <w:tc>
          <w:tcPr>
            <w:tcW w:w="1488"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F82810">
        <w:tc>
          <w:tcPr>
            <w:tcW w:w="6795" w:type="dxa"/>
          </w:tcPr>
          <w:p w:rsidR="00F82810" w:rsidRDefault="004C190B">
            <w:pPr>
              <w:pStyle w:val="BulletPointStyle"/>
              <w:ind w:left="284" w:hanging="284"/>
              <w:rPr>
                <w:sz w:val="22"/>
              </w:rPr>
            </w:pPr>
            <w:r>
              <w:rPr>
                <w:sz w:val="22"/>
              </w:rPr>
              <w:t xml:space="preserve">Able to lead, develop, share and realise strategic plans for the </w:t>
            </w:r>
            <w:r>
              <w:rPr>
                <w:sz w:val="22"/>
              </w:rPr>
              <w:t>faculty</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rFonts w:cs="Arial"/>
                <w:color w:val="000000"/>
                <w:sz w:val="22"/>
              </w:rPr>
              <w:t>Able to motivate, challenge and empower others to deliver an improvement plan</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Knowledge and understanding of educational trends</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Commitment to the use of emerging technologies</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rFonts w:cs="Arial"/>
                <w:color w:val="000000"/>
                <w:sz w:val="22"/>
              </w:rPr>
              <w:t>Successful teaching in more than one school</w:t>
            </w:r>
          </w:p>
        </w:tc>
        <w:tc>
          <w:tcPr>
            <w:tcW w:w="1488" w:type="dxa"/>
          </w:tcPr>
          <w:p w:rsidR="00F82810" w:rsidRDefault="00F82810">
            <w:pPr>
              <w:pStyle w:val="HeadingStyleOne"/>
              <w:jc w:val="center"/>
              <w:rPr>
                <w:rFonts w:ascii="Roboto" w:hAnsi="Roboto"/>
                <w:sz w:val="22"/>
                <w:szCs w:val="22"/>
              </w:rPr>
            </w:pPr>
          </w:p>
        </w:tc>
        <w:tc>
          <w:tcPr>
            <w:tcW w:w="1489"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r>
    </w:tbl>
    <w:p w:rsidR="00F82810" w:rsidRDefault="00F82810"/>
    <w:tbl>
      <w:tblPr>
        <w:tblStyle w:val="TableGrid"/>
        <w:tblW w:w="0" w:type="auto"/>
        <w:tblInd w:w="288" w:type="dxa"/>
        <w:tblLook w:val="04A0" w:firstRow="1" w:lastRow="0" w:firstColumn="1" w:lastColumn="0" w:noHBand="0" w:noVBand="1"/>
      </w:tblPr>
      <w:tblGrid>
        <w:gridCol w:w="6795"/>
        <w:gridCol w:w="1488"/>
        <w:gridCol w:w="1489"/>
      </w:tblGrid>
      <w:tr w:rsidR="00F82810">
        <w:tc>
          <w:tcPr>
            <w:tcW w:w="6795" w:type="dxa"/>
            <w:shd w:val="clear" w:color="auto" w:fill="002060"/>
          </w:tcPr>
          <w:p w:rsidR="00F82810" w:rsidRDefault="004C190B">
            <w:pPr>
              <w:pStyle w:val="BulletPointStyle"/>
              <w:numPr>
                <w:ilvl w:val="0"/>
                <w:numId w:val="0"/>
              </w:numPr>
              <w:rPr>
                <w:color w:val="FFFFFF" w:themeColor="background1"/>
                <w:sz w:val="22"/>
              </w:rPr>
            </w:pPr>
            <w:r>
              <w:rPr>
                <w:color w:val="FFFFFF" w:themeColor="background1"/>
                <w:sz w:val="22"/>
              </w:rPr>
              <w:lastRenderedPageBreak/>
              <w:t>ACCOUNTABILITY</w:t>
            </w:r>
          </w:p>
        </w:tc>
        <w:tc>
          <w:tcPr>
            <w:tcW w:w="1488"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F82810">
        <w:tc>
          <w:tcPr>
            <w:tcW w:w="6795" w:type="dxa"/>
          </w:tcPr>
          <w:p w:rsidR="00F82810" w:rsidRDefault="004C190B">
            <w:pPr>
              <w:pStyle w:val="BulletPointStyle"/>
              <w:ind w:left="284" w:hanging="284"/>
              <w:rPr>
                <w:sz w:val="22"/>
              </w:rPr>
            </w:pPr>
            <w:r>
              <w:rPr>
                <w:sz w:val="22"/>
              </w:rPr>
              <w:t>Ability to build and maintain effective links with stakeholders</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Ability to engage with parents in the education of their children</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 xml:space="preserve">Ability to develop and present a coherent and accurate account of the faculty’s </w:t>
            </w:r>
            <w:r>
              <w:rPr>
                <w:sz w:val="22"/>
              </w:rPr>
              <w:t>performance to a range of audiences; including parents and external agencies</w:t>
            </w:r>
          </w:p>
        </w:tc>
        <w:tc>
          <w:tcPr>
            <w:tcW w:w="1488" w:type="dxa"/>
          </w:tcPr>
          <w:p w:rsidR="00F82810" w:rsidRDefault="004C190B">
            <w:pPr>
              <w:pStyle w:val="HeadingStyleOne"/>
              <w:jc w:val="center"/>
              <w:rPr>
                <w:rFonts w:ascii="Roboto" w:hAnsi="Roboto"/>
                <w:sz w:val="22"/>
                <w:szCs w:val="22"/>
              </w:rPr>
            </w:pPr>
            <w:r>
              <w:rPr>
                <w:rFonts w:ascii="Roboto" w:hAnsi="Roboto"/>
                <w:sz w:val="22"/>
                <w:szCs w:val="22"/>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shd w:val="clear" w:color="auto" w:fill="002060"/>
          </w:tcPr>
          <w:p w:rsidR="00F82810" w:rsidRDefault="004C190B">
            <w:pPr>
              <w:pStyle w:val="BulletPointStyle"/>
              <w:numPr>
                <w:ilvl w:val="0"/>
                <w:numId w:val="0"/>
              </w:numPr>
              <w:rPr>
                <w:color w:val="FFFFFF" w:themeColor="background1"/>
                <w:sz w:val="22"/>
              </w:rPr>
            </w:pPr>
            <w:r>
              <w:rPr>
                <w:color w:val="FFFFFF" w:themeColor="background1"/>
                <w:sz w:val="22"/>
              </w:rPr>
              <w:t>LEADING AND MANAGING STAFF</w:t>
            </w:r>
          </w:p>
        </w:tc>
        <w:tc>
          <w:tcPr>
            <w:tcW w:w="1488"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Essential</w:t>
            </w:r>
          </w:p>
        </w:tc>
        <w:tc>
          <w:tcPr>
            <w:tcW w:w="1489" w:type="dxa"/>
            <w:shd w:val="clear" w:color="auto" w:fill="002060"/>
          </w:tcPr>
          <w:p w:rsidR="00F82810" w:rsidRDefault="004C190B">
            <w:pPr>
              <w:pStyle w:val="HeadingStyleOne"/>
              <w:jc w:val="center"/>
              <w:rPr>
                <w:rFonts w:ascii="Roboto" w:hAnsi="Roboto"/>
                <w:color w:val="FFFFFF" w:themeColor="background1"/>
                <w:sz w:val="22"/>
                <w:szCs w:val="22"/>
              </w:rPr>
            </w:pPr>
            <w:r>
              <w:rPr>
                <w:rFonts w:ascii="Roboto" w:hAnsi="Roboto"/>
                <w:color w:val="FFFFFF" w:themeColor="background1"/>
                <w:sz w:val="22"/>
                <w:szCs w:val="22"/>
              </w:rPr>
              <w:t>Desirable</w:t>
            </w:r>
          </w:p>
        </w:tc>
      </w:tr>
      <w:tr w:rsidR="00F82810">
        <w:tc>
          <w:tcPr>
            <w:tcW w:w="6795" w:type="dxa"/>
          </w:tcPr>
          <w:p w:rsidR="00F82810" w:rsidRDefault="004C190B">
            <w:pPr>
              <w:pStyle w:val="BulletPointStyle"/>
              <w:ind w:left="284" w:hanging="284"/>
              <w:rPr>
                <w:sz w:val="22"/>
              </w:rPr>
            </w:pPr>
            <w:r>
              <w:rPr>
                <w:sz w:val="22"/>
              </w:rPr>
              <w:t>Ability to contribute to the recognition and effective use of the talents of the teaching team</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 xml:space="preserve">Effective management of </w:t>
            </w:r>
            <w:r>
              <w:rPr>
                <w:sz w:val="22"/>
              </w:rPr>
              <w:t>student behaviour</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Ability to undertake effective performance management and development of staff where appropriate</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Ability to take difficult decisions and convey outcomes clearly and sensitively</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r w:rsidR="00F82810">
        <w:tc>
          <w:tcPr>
            <w:tcW w:w="6795" w:type="dxa"/>
          </w:tcPr>
          <w:p w:rsidR="00F82810" w:rsidRDefault="004C190B">
            <w:pPr>
              <w:pStyle w:val="BulletPointStyle"/>
              <w:ind w:left="284" w:hanging="284"/>
              <w:rPr>
                <w:sz w:val="22"/>
              </w:rPr>
            </w:pPr>
            <w:r>
              <w:rPr>
                <w:sz w:val="22"/>
              </w:rPr>
              <w:t>Ability to foster an open, fair and equitable cul</w:t>
            </w:r>
            <w:r>
              <w:rPr>
                <w:sz w:val="22"/>
              </w:rPr>
              <w:t>ture within the faculty</w:t>
            </w:r>
          </w:p>
        </w:tc>
        <w:tc>
          <w:tcPr>
            <w:tcW w:w="1488" w:type="dxa"/>
          </w:tcPr>
          <w:p w:rsidR="00F82810" w:rsidRDefault="004C190B">
            <w:pPr>
              <w:jc w:val="center"/>
              <w:rPr>
                <w:rFonts w:ascii="Roboto" w:hAnsi="Roboto"/>
              </w:rPr>
            </w:pPr>
            <w:r>
              <w:rPr>
                <w:rFonts w:ascii="Roboto" w:hAnsi="Roboto"/>
              </w:rPr>
              <w:sym w:font="Wingdings" w:char="F0FC"/>
            </w:r>
          </w:p>
        </w:tc>
        <w:tc>
          <w:tcPr>
            <w:tcW w:w="1489" w:type="dxa"/>
          </w:tcPr>
          <w:p w:rsidR="00F82810" w:rsidRDefault="00F82810">
            <w:pPr>
              <w:pStyle w:val="HeadingStyleOne"/>
              <w:jc w:val="center"/>
              <w:rPr>
                <w:rFonts w:ascii="Roboto" w:hAnsi="Roboto"/>
                <w:sz w:val="22"/>
                <w:szCs w:val="22"/>
              </w:rPr>
            </w:pPr>
          </w:p>
        </w:tc>
      </w:tr>
    </w:tbl>
    <w:p w:rsidR="00F82810" w:rsidRDefault="00F82810">
      <w:pPr>
        <w:pStyle w:val="BulletPointStyle"/>
        <w:numPr>
          <w:ilvl w:val="0"/>
          <w:numId w:val="0"/>
        </w:numPr>
      </w:pPr>
    </w:p>
    <w:p w:rsidR="00F82810" w:rsidRDefault="004C190B">
      <w:pPr>
        <w:spacing w:before="240" w:after="240" w:line="240" w:lineRule="auto"/>
        <w:rPr>
          <w:rFonts w:ascii="Roboto" w:eastAsia="Times New Roman" w:hAnsi="Roboto" w:cs="Times New Roman"/>
          <w:lang w:eastAsia="en-GB"/>
        </w:rPr>
      </w:pPr>
      <w:r>
        <w:rPr>
          <w:rFonts w:ascii="Roboto" w:eastAsia="Times New Roman" w:hAnsi="Roboto" w:cs="Arial"/>
          <w:iCs/>
          <w:color w:val="000000"/>
          <w:lang w:eastAsia="en-GB"/>
        </w:rPr>
        <w:t xml:space="preserve">In addition to the candidates’ ability to perform the duties of the post, the interview process will also explore issues relating to safeguarding and promoting the welfare of children including motivation to work with children </w:t>
      </w:r>
      <w:r>
        <w:rPr>
          <w:rFonts w:ascii="Roboto" w:eastAsia="Times New Roman" w:hAnsi="Roboto" w:cs="Arial"/>
          <w:iCs/>
          <w:color w:val="000000"/>
          <w:lang w:eastAsia="en-GB"/>
        </w:rPr>
        <w:t>and young people, ability to form and maintain appropriate relationships and personal boundaries with children and young people, emotional resilience in working with challenging behaviours, and attitudes to use of authority and maintaining discipline.</w:t>
      </w:r>
    </w:p>
    <w:p w:rsidR="00F82810" w:rsidRDefault="00F82810">
      <w:pPr>
        <w:pStyle w:val="BulletPointStyle"/>
        <w:numPr>
          <w:ilvl w:val="0"/>
          <w:numId w:val="0"/>
        </w:numPr>
      </w:pPr>
    </w:p>
    <w:sectPr w:rsidR="00F82810">
      <w:pgSz w:w="11906" w:h="16838"/>
      <w:pgMar w:top="284" w:right="709"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Hebrew Scholar">
    <w:altName w:val="Times New Roman"/>
    <w:charset w:val="B1"/>
    <w:family w:val="auto"/>
    <w:pitch w:val="variable"/>
    <w:sig w:usb0="80000843" w:usb1="40002002" w:usb2="00000000" w:usb3="00000000" w:csb0="00000021"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75pt;height:40.5pt" o:bullet="t">
        <v:imagedata r:id="rId1" o:title="Paxman_Arrow_Bullet_Style"/>
      </v:shape>
    </w:pict>
  </w:numPicBullet>
  <w:abstractNum w:abstractNumId="0" w15:restartNumberingAfterBreak="0">
    <w:nsid w:val="00F67EE4"/>
    <w:multiLevelType w:val="multilevel"/>
    <w:tmpl w:val="ADB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4F81"/>
    <w:multiLevelType w:val="multilevel"/>
    <w:tmpl w:val="AE5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04F9B"/>
    <w:multiLevelType w:val="multilevel"/>
    <w:tmpl w:val="6D92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91BB7"/>
    <w:multiLevelType w:val="multilevel"/>
    <w:tmpl w:val="D88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D13DF"/>
    <w:multiLevelType w:val="multilevel"/>
    <w:tmpl w:val="2BD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D680A"/>
    <w:multiLevelType w:val="multilevel"/>
    <w:tmpl w:val="3EE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C3642"/>
    <w:multiLevelType w:val="multilevel"/>
    <w:tmpl w:val="870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159D2"/>
    <w:multiLevelType w:val="multilevel"/>
    <w:tmpl w:val="488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F6152"/>
    <w:multiLevelType w:val="multilevel"/>
    <w:tmpl w:val="AAD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8264A"/>
    <w:multiLevelType w:val="multilevel"/>
    <w:tmpl w:val="2336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94085"/>
    <w:multiLevelType w:val="multilevel"/>
    <w:tmpl w:val="BBC6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B256C"/>
    <w:multiLevelType w:val="multilevel"/>
    <w:tmpl w:val="C09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49FB"/>
    <w:multiLevelType w:val="multilevel"/>
    <w:tmpl w:val="CD3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F70D8"/>
    <w:multiLevelType w:val="multilevel"/>
    <w:tmpl w:val="DB2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D4F93"/>
    <w:multiLevelType w:val="multilevel"/>
    <w:tmpl w:val="1384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332D7"/>
    <w:multiLevelType w:val="multilevel"/>
    <w:tmpl w:val="18E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E31E0"/>
    <w:multiLevelType w:val="multilevel"/>
    <w:tmpl w:val="1BF6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44BE5"/>
    <w:multiLevelType w:val="multilevel"/>
    <w:tmpl w:val="870C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14B66"/>
    <w:multiLevelType w:val="multilevel"/>
    <w:tmpl w:val="BEBC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4243E"/>
    <w:multiLevelType w:val="multilevel"/>
    <w:tmpl w:val="2B6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C0672"/>
    <w:multiLevelType w:val="hybridMultilevel"/>
    <w:tmpl w:val="DF74243E"/>
    <w:lvl w:ilvl="0" w:tplc="6556ED8C">
      <w:start w:val="1"/>
      <w:numFmt w:val="bullet"/>
      <w:pStyle w:val="BulletPointStyle"/>
      <w:lvlText w:val=""/>
      <w:lvlPicBulletId w:val="0"/>
      <w:lvlJc w:val="left"/>
      <w:pPr>
        <w:ind w:left="288" w:firstLine="7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5630D"/>
    <w:multiLevelType w:val="hybridMultilevel"/>
    <w:tmpl w:val="44F001FE"/>
    <w:lvl w:ilvl="0" w:tplc="9044254C">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A5048"/>
    <w:multiLevelType w:val="multilevel"/>
    <w:tmpl w:val="4AB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C5A8B"/>
    <w:multiLevelType w:val="multilevel"/>
    <w:tmpl w:val="8A88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
  </w:num>
  <w:num w:numId="4">
    <w:abstractNumId w:val="22"/>
  </w:num>
  <w:num w:numId="5">
    <w:abstractNumId w:val="10"/>
  </w:num>
  <w:num w:numId="6">
    <w:abstractNumId w:val="11"/>
  </w:num>
  <w:num w:numId="7">
    <w:abstractNumId w:val="19"/>
  </w:num>
  <w:num w:numId="8">
    <w:abstractNumId w:val="8"/>
  </w:num>
  <w:num w:numId="9">
    <w:abstractNumId w:val="15"/>
  </w:num>
  <w:num w:numId="10">
    <w:abstractNumId w:val="1"/>
  </w:num>
  <w:num w:numId="11">
    <w:abstractNumId w:val="0"/>
  </w:num>
  <w:num w:numId="12">
    <w:abstractNumId w:val="17"/>
  </w:num>
  <w:num w:numId="13">
    <w:abstractNumId w:val="23"/>
  </w:num>
  <w:num w:numId="14">
    <w:abstractNumId w:val="18"/>
  </w:num>
  <w:num w:numId="15">
    <w:abstractNumId w:val="14"/>
  </w:num>
  <w:num w:numId="16">
    <w:abstractNumId w:val="6"/>
  </w:num>
  <w:num w:numId="17">
    <w:abstractNumId w:val="4"/>
  </w:num>
  <w:num w:numId="18">
    <w:abstractNumId w:val="3"/>
  </w:num>
  <w:num w:numId="19">
    <w:abstractNumId w:val="16"/>
  </w:num>
  <w:num w:numId="20">
    <w:abstractNumId w:val="7"/>
  </w:num>
  <w:num w:numId="21">
    <w:abstractNumId w:val="5"/>
  </w:num>
  <w:num w:numId="22">
    <w:abstractNumId w:val="13"/>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10"/>
    <w:rsid w:val="004C190B"/>
    <w:rsid w:val="00F82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64965-9456-4577-9915-D33A448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tyle">
    <w:name w:val="Bullet Point Style"/>
    <w:basedOn w:val="ListParagraph"/>
    <w:qFormat/>
    <w:pPr>
      <w:numPr>
        <w:numId w:val="1"/>
      </w:numPr>
      <w:spacing w:before="60" w:after="0" w:line="240" w:lineRule="auto"/>
    </w:pPr>
    <w:rPr>
      <w:rFonts w:ascii="Roboto" w:hAnsi="Roboto" w:cs="Arial Hebrew Scholar"/>
      <w:sz w:val="20"/>
    </w:rPr>
  </w:style>
  <w:style w:type="paragraph" w:styleId="ListParagraph">
    <w:name w:val="List Paragraph"/>
    <w:basedOn w:val="Normal"/>
    <w:uiPriority w:val="34"/>
    <w:qFormat/>
    <w:pPr>
      <w:ind w:left="720"/>
      <w:contextualSpacing/>
    </w:pPr>
  </w:style>
  <w:style w:type="paragraph" w:customStyle="1" w:styleId="HeadingStyleTwo">
    <w:name w:val="Heading Style Two"/>
    <w:basedOn w:val="Normal"/>
    <w:qFormat/>
    <w:pPr>
      <w:spacing w:before="60" w:after="0" w:line="240" w:lineRule="auto"/>
    </w:pPr>
    <w:rPr>
      <w:rFonts w:ascii="Roboto Medium" w:hAnsi="Roboto Medium" w:cs="Arial Hebrew Scholar"/>
      <w:sz w:val="24"/>
      <w:szCs w:val="24"/>
    </w:rPr>
  </w:style>
  <w:style w:type="paragraph" w:customStyle="1" w:styleId="HeadingStyleTwoLower-case">
    <w:name w:val="Heading Style Two Lower-case"/>
    <w:basedOn w:val="Normal"/>
    <w:qFormat/>
    <w:pPr>
      <w:spacing w:before="60" w:after="0" w:line="240" w:lineRule="auto"/>
    </w:pPr>
    <w:rPr>
      <w:rFonts w:ascii="Roboto Medium" w:hAnsi="Roboto Medium" w:cs="Arial Hebrew Scholar"/>
      <w:szCs w:val="24"/>
    </w:rPr>
  </w:style>
  <w:style w:type="paragraph" w:customStyle="1" w:styleId="HeadingStyleOne">
    <w:name w:val="Heading Style One"/>
    <w:basedOn w:val="Normal"/>
    <w:qFormat/>
    <w:pPr>
      <w:spacing w:before="60" w:after="0" w:line="240" w:lineRule="auto"/>
    </w:pPr>
    <w:rPr>
      <w:rFonts w:ascii="Roboto Medium" w:eastAsia="Calibri" w:hAnsi="Roboto Medium" w:cs="Calibri"/>
      <w:sz w:val="24"/>
      <w:szCs w:val="28"/>
    </w:rPr>
  </w:style>
  <w:style w:type="paragraph" w:customStyle="1" w:styleId="HeadingStyleOneLower-case">
    <w:name w:val="Heading Style One Lower-case"/>
    <w:basedOn w:val="Normal"/>
    <w:qFormat/>
    <w:pPr>
      <w:spacing w:before="60" w:after="0" w:line="240" w:lineRule="auto"/>
    </w:pPr>
    <w:rPr>
      <w:rFonts w:ascii="Roboto Medium" w:eastAsia="Calibri" w:hAnsi="Roboto Medium" w:cs="Calibri"/>
      <w:sz w:val="24"/>
      <w:szCs w:val="28"/>
    </w:rPr>
  </w:style>
  <w:style w:type="paragraph" w:customStyle="1" w:styleId="MainBodyCopyHighlight">
    <w:name w:val="Main Body Copy Highlight"/>
    <w:basedOn w:val="Normal"/>
    <w:qFormat/>
    <w:pPr>
      <w:spacing w:before="60" w:after="0" w:line="240" w:lineRule="auto"/>
    </w:pPr>
    <w:rPr>
      <w:rFonts w:ascii="Roboto" w:hAnsi="Roboto" w:cs="Arial Hebrew Scholar"/>
      <w:color w:val="009A5E"/>
      <w:sz w:val="20"/>
      <w:szCs w:val="20"/>
    </w:rPr>
  </w:style>
  <w:style w:type="paragraph" w:customStyle="1" w:styleId="MainBodyCopyStyle">
    <w:name w:val="Main Body Copy Style"/>
    <w:basedOn w:val="Normal"/>
    <w:qFormat/>
    <w:pPr>
      <w:spacing w:before="60" w:after="0" w:line="240" w:lineRule="auto"/>
    </w:pPr>
    <w:rPr>
      <w:rFonts w:ascii="Roboto" w:hAnsi="Roboto" w:cs="Arial Hebrew Schola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908">
      <w:bodyDiv w:val="1"/>
      <w:marLeft w:val="0"/>
      <w:marRight w:val="0"/>
      <w:marTop w:val="0"/>
      <w:marBottom w:val="0"/>
      <w:divBdr>
        <w:top w:val="none" w:sz="0" w:space="0" w:color="auto"/>
        <w:left w:val="none" w:sz="0" w:space="0" w:color="auto"/>
        <w:bottom w:val="none" w:sz="0" w:space="0" w:color="auto"/>
        <w:right w:val="none" w:sz="0" w:space="0" w:color="auto"/>
      </w:divBdr>
    </w:div>
    <w:div w:id="453521945">
      <w:bodyDiv w:val="1"/>
      <w:marLeft w:val="0"/>
      <w:marRight w:val="0"/>
      <w:marTop w:val="0"/>
      <w:marBottom w:val="0"/>
      <w:divBdr>
        <w:top w:val="none" w:sz="0" w:space="0" w:color="auto"/>
        <w:left w:val="none" w:sz="0" w:space="0" w:color="auto"/>
        <w:bottom w:val="none" w:sz="0" w:space="0" w:color="auto"/>
        <w:right w:val="none" w:sz="0" w:space="0" w:color="auto"/>
      </w:divBdr>
    </w:div>
    <w:div w:id="564216549">
      <w:bodyDiv w:val="1"/>
      <w:marLeft w:val="0"/>
      <w:marRight w:val="0"/>
      <w:marTop w:val="0"/>
      <w:marBottom w:val="0"/>
      <w:divBdr>
        <w:top w:val="none" w:sz="0" w:space="0" w:color="auto"/>
        <w:left w:val="none" w:sz="0" w:space="0" w:color="auto"/>
        <w:bottom w:val="none" w:sz="0" w:space="0" w:color="auto"/>
        <w:right w:val="none" w:sz="0" w:space="0" w:color="auto"/>
      </w:divBdr>
    </w:div>
    <w:div w:id="661086836">
      <w:bodyDiv w:val="1"/>
      <w:marLeft w:val="0"/>
      <w:marRight w:val="0"/>
      <w:marTop w:val="0"/>
      <w:marBottom w:val="0"/>
      <w:divBdr>
        <w:top w:val="none" w:sz="0" w:space="0" w:color="auto"/>
        <w:left w:val="none" w:sz="0" w:space="0" w:color="auto"/>
        <w:bottom w:val="none" w:sz="0" w:space="0" w:color="auto"/>
        <w:right w:val="none" w:sz="0" w:space="0" w:color="auto"/>
      </w:divBdr>
    </w:div>
    <w:div w:id="689381573">
      <w:bodyDiv w:val="1"/>
      <w:marLeft w:val="0"/>
      <w:marRight w:val="0"/>
      <w:marTop w:val="0"/>
      <w:marBottom w:val="0"/>
      <w:divBdr>
        <w:top w:val="none" w:sz="0" w:space="0" w:color="auto"/>
        <w:left w:val="none" w:sz="0" w:space="0" w:color="auto"/>
        <w:bottom w:val="none" w:sz="0" w:space="0" w:color="auto"/>
        <w:right w:val="none" w:sz="0" w:space="0" w:color="auto"/>
      </w:divBdr>
    </w:div>
    <w:div w:id="717432337">
      <w:bodyDiv w:val="1"/>
      <w:marLeft w:val="0"/>
      <w:marRight w:val="0"/>
      <w:marTop w:val="0"/>
      <w:marBottom w:val="0"/>
      <w:divBdr>
        <w:top w:val="none" w:sz="0" w:space="0" w:color="auto"/>
        <w:left w:val="none" w:sz="0" w:space="0" w:color="auto"/>
        <w:bottom w:val="none" w:sz="0" w:space="0" w:color="auto"/>
        <w:right w:val="none" w:sz="0" w:space="0" w:color="auto"/>
      </w:divBdr>
    </w:div>
    <w:div w:id="739332524">
      <w:bodyDiv w:val="1"/>
      <w:marLeft w:val="0"/>
      <w:marRight w:val="0"/>
      <w:marTop w:val="0"/>
      <w:marBottom w:val="0"/>
      <w:divBdr>
        <w:top w:val="none" w:sz="0" w:space="0" w:color="auto"/>
        <w:left w:val="none" w:sz="0" w:space="0" w:color="auto"/>
        <w:bottom w:val="none" w:sz="0" w:space="0" w:color="auto"/>
        <w:right w:val="none" w:sz="0" w:space="0" w:color="auto"/>
      </w:divBdr>
    </w:div>
    <w:div w:id="771246597">
      <w:bodyDiv w:val="1"/>
      <w:marLeft w:val="0"/>
      <w:marRight w:val="0"/>
      <w:marTop w:val="0"/>
      <w:marBottom w:val="0"/>
      <w:divBdr>
        <w:top w:val="none" w:sz="0" w:space="0" w:color="auto"/>
        <w:left w:val="none" w:sz="0" w:space="0" w:color="auto"/>
        <w:bottom w:val="none" w:sz="0" w:space="0" w:color="auto"/>
        <w:right w:val="none" w:sz="0" w:space="0" w:color="auto"/>
      </w:divBdr>
    </w:div>
    <w:div w:id="861163422">
      <w:bodyDiv w:val="1"/>
      <w:marLeft w:val="0"/>
      <w:marRight w:val="0"/>
      <w:marTop w:val="0"/>
      <w:marBottom w:val="0"/>
      <w:divBdr>
        <w:top w:val="none" w:sz="0" w:space="0" w:color="auto"/>
        <w:left w:val="none" w:sz="0" w:space="0" w:color="auto"/>
        <w:bottom w:val="none" w:sz="0" w:space="0" w:color="auto"/>
        <w:right w:val="none" w:sz="0" w:space="0" w:color="auto"/>
      </w:divBdr>
    </w:div>
    <w:div w:id="1042168080">
      <w:bodyDiv w:val="1"/>
      <w:marLeft w:val="0"/>
      <w:marRight w:val="0"/>
      <w:marTop w:val="0"/>
      <w:marBottom w:val="0"/>
      <w:divBdr>
        <w:top w:val="none" w:sz="0" w:space="0" w:color="auto"/>
        <w:left w:val="none" w:sz="0" w:space="0" w:color="auto"/>
        <w:bottom w:val="none" w:sz="0" w:space="0" w:color="auto"/>
        <w:right w:val="none" w:sz="0" w:space="0" w:color="auto"/>
      </w:divBdr>
    </w:div>
    <w:div w:id="1194347874">
      <w:bodyDiv w:val="1"/>
      <w:marLeft w:val="0"/>
      <w:marRight w:val="0"/>
      <w:marTop w:val="0"/>
      <w:marBottom w:val="0"/>
      <w:divBdr>
        <w:top w:val="none" w:sz="0" w:space="0" w:color="auto"/>
        <w:left w:val="none" w:sz="0" w:space="0" w:color="auto"/>
        <w:bottom w:val="none" w:sz="0" w:space="0" w:color="auto"/>
        <w:right w:val="none" w:sz="0" w:space="0" w:color="auto"/>
      </w:divBdr>
    </w:div>
    <w:div w:id="1411736597">
      <w:bodyDiv w:val="1"/>
      <w:marLeft w:val="0"/>
      <w:marRight w:val="0"/>
      <w:marTop w:val="0"/>
      <w:marBottom w:val="0"/>
      <w:divBdr>
        <w:top w:val="none" w:sz="0" w:space="0" w:color="auto"/>
        <w:left w:val="none" w:sz="0" w:space="0" w:color="auto"/>
        <w:bottom w:val="none" w:sz="0" w:space="0" w:color="auto"/>
        <w:right w:val="none" w:sz="0" w:space="0" w:color="auto"/>
      </w:divBdr>
    </w:div>
    <w:div w:id="1484540718">
      <w:bodyDiv w:val="1"/>
      <w:marLeft w:val="0"/>
      <w:marRight w:val="0"/>
      <w:marTop w:val="0"/>
      <w:marBottom w:val="0"/>
      <w:divBdr>
        <w:top w:val="none" w:sz="0" w:space="0" w:color="auto"/>
        <w:left w:val="none" w:sz="0" w:space="0" w:color="auto"/>
        <w:bottom w:val="none" w:sz="0" w:space="0" w:color="auto"/>
        <w:right w:val="none" w:sz="0" w:space="0" w:color="auto"/>
      </w:divBdr>
    </w:div>
    <w:div w:id="1550998990">
      <w:bodyDiv w:val="1"/>
      <w:marLeft w:val="0"/>
      <w:marRight w:val="0"/>
      <w:marTop w:val="0"/>
      <w:marBottom w:val="0"/>
      <w:divBdr>
        <w:top w:val="none" w:sz="0" w:space="0" w:color="auto"/>
        <w:left w:val="none" w:sz="0" w:space="0" w:color="auto"/>
        <w:bottom w:val="none" w:sz="0" w:space="0" w:color="auto"/>
        <w:right w:val="none" w:sz="0" w:space="0" w:color="auto"/>
      </w:divBdr>
    </w:div>
    <w:div w:id="1609119179">
      <w:bodyDiv w:val="1"/>
      <w:marLeft w:val="0"/>
      <w:marRight w:val="0"/>
      <w:marTop w:val="0"/>
      <w:marBottom w:val="0"/>
      <w:divBdr>
        <w:top w:val="none" w:sz="0" w:space="0" w:color="auto"/>
        <w:left w:val="none" w:sz="0" w:space="0" w:color="auto"/>
        <w:bottom w:val="none" w:sz="0" w:space="0" w:color="auto"/>
        <w:right w:val="none" w:sz="0" w:space="0" w:color="auto"/>
      </w:divBdr>
    </w:div>
    <w:div w:id="1641300022">
      <w:bodyDiv w:val="1"/>
      <w:marLeft w:val="0"/>
      <w:marRight w:val="0"/>
      <w:marTop w:val="0"/>
      <w:marBottom w:val="0"/>
      <w:divBdr>
        <w:top w:val="none" w:sz="0" w:space="0" w:color="auto"/>
        <w:left w:val="none" w:sz="0" w:space="0" w:color="auto"/>
        <w:bottom w:val="none" w:sz="0" w:space="0" w:color="auto"/>
        <w:right w:val="none" w:sz="0" w:space="0" w:color="auto"/>
      </w:divBdr>
    </w:div>
    <w:div w:id="1674458173">
      <w:bodyDiv w:val="1"/>
      <w:marLeft w:val="0"/>
      <w:marRight w:val="0"/>
      <w:marTop w:val="0"/>
      <w:marBottom w:val="0"/>
      <w:divBdr>
        <w:top w:val="none" w:sz="0" w:space="0" w:color="auto"/>
        <w:left w:val="none" w:sz="0" w:space="0" w:color="auto"/>
        <w:bottom w:val="none" w:sz="0" w:space="0" w:color="auto"/>
        <w:right w:val="none" w:sz="0" w:space="0" w:color="auto"/>
      </w:divBdr>
    </w:div>
    <w:div w:id="1759398921">
      <w:bodyDiv w:val="1"/>
      <w:marLeft w:val="0"/>
      <w:marRight w:val="0"/>
      <w:marTop w:val="0"/>
      <w:marBottom w:val="0"/>
      <w:divBdr>
        <w:top w:val="none" w:sz="0" w:space="0" w:color="auto"/>
        <w:left w:val="none" w:sz="0" w:space="0" w:color="auto"/>
        <w:bottom w:val="none" w:sz="0" w:space="0" w:color="auto"/>
        <w:right w:val="none" w:sz="0" w:space="0" w:color="auto"/>
      </w:divBdr>
    </w:div>
    <w:div w:id="1853182615">
      <w:bodyDiv w:val="1"/>
      <w:marLeft w:val="0"/>
      <w:marRight w:val="0"/>
      <w:marTop w:val="0"/>
      <w:marBottom w:val="0"/>
      <w:divBdr>
        <w:top w:val="none" w:sz="0" w:space="0" w:color="auto"/>
        <w:left w:val="none" w:sz="0" w:space="0" w:color="auto"/>
        <w:bottom w:val="none" w:sz="0" w:space="0" w:color="auto"/>
        <w:right w:val="none" w:sz="0" w:space="0" w:color="auto"/>
      </w:divBdr>
    </w:div>
    <w:div w:id="1887522873">
      <w:bodyDiv w:val="1"/>
      <w:marLeft w:val="0"/>
      <w:marRight w:val="0"/>
      <w:marTop w:val="0"/>
      <w:marBottom w:val="0"/>
      <w:divBdr>
        <w:top w:val="none" w:sz="0" w:space="0" w:color="auto"/>
        <w:left w:val="none" w:sz="0" w:space="0" w:color="auto"/>
        <w:bottom w:val="none" w:sz="0" w:space="0" w:color="auto"/>
        <w:right w:val="none" w:sz="0" w:space="0" w:color="auto"/>
      </w:divBdr>
    </w:div>
    <w:div w:id="1905408605">
      <w:bodyDiv w:val="1"/>
      <w:marLeft w:val="0"/>
      <w:marRight w:val="0"/>
      <w:marTop w:val="0"/>
      <w:marBottom w:val="0"/>
      <w:divBdr>
        <w:top w:val="none" w:sz="0" w:space="0" w:color="auto"/>
        <w:left w:val="none" w:sz="0" w:space="0" w:color="auto"/>
        <w:bottom w:val="none" w:sz="0" w:space="0" w:color="auto"/>
        <w:right w:val="none" w:sz="0" w:space="0" w:color="auto"/>
      </w:divBdr>
    </w:div>
    <w:div w:id="1934973241">
      <w:bodyDiv w:val="1"/>
      <w:marLeft w:val="0"/>
      <w:marRight w:val="0"/>
      <w:marTop w:val="0"/>
      <w:marBottom w:val="0"/>
      <w:divBdr>
        <w:top w:val="none" w:sz="0" w:space="0" w:color="auto"/>
        <w:left w:val="none" w:sz="0" w:space="0" w:color="auto"/>
        <w:bottom w:val="none" w:sz="0" w:space="0" w:color="auto"/>
        <w:right w:val="none" w:sz="0" w:space="0" w:color="auto"/>
      </w:divBdr>
    </w:div>
    <w:div w:id="19580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Wright</dc:creator>
  <cp:keywords/>
  <dc:description/>
  <cp:lastModifiedBy>Kate Burrows</cp:lastModifiedBy>
  <cp:revision>2</cp:revision>
  <cp:lastPrinted>2019-11-05T14:15:00Z</cp:lastPrinted>
  <dcterms:created xsi:type="dcterms:W3CDTF">2019-11-11T12:37:00Z</dcterms:created>
  <dcterms:modified xsi:type="dcterms:W3CDTF">2019-11-11T12:37:00Z</dcterms:modified>
</cp:coreProperties>
</file>