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C6" w:rsidRDefault="007877C6">
      <w:pPr>
        <w:jc w:val="right"/>
      </w:pPr>
      <w:bookmarkStart w:id="0" w:name="_GoBack"/>
      <w:bookmarkEnd w:id="0"/>
    </w:p>
    <w:p w:rsidR="007877C6" w:rsidRDefault="007877C6">
      <w:pPr>
        <w:pStyle w:val="Caption"/>
      </w:pPr>
    </w:p>
    <w:p w:rsidR="007877C6" w:rsidRDefault="00031C7E">
      <w:pPr>
        <w:pStyle w:val="Caption"/>
        <w:rPr>
          <w:sz w:val="36"/>
          <w:szCs w:val="36"/>
        </w:rPr>
      </w:pPr>
      <w:r>
        <w:rPr>
          <w:sz w:val="36"/>
          <w:szCs w:val="36"/>
        </w:rPr>
        <w:t>JOB DESCRIPTION</w:t>
      </w:r>
    </w:p>
    <w:p w:rsidR="007877C6" w:rsidRDefault="007877C6">
      <w:pPr>
        <w:jc w:val="both"/>
        <w:rPr>
          <w:b/>
          <w:sz w:val="28"/>
        </w:rPr>
      </w:pPr>
    </w:p>
    <w:p w:rsidR="007877C6" w:rsidRDefault="00E231B0">
      <w:pPr>
        <w:jc w:val="both"/>
        <w:rPr>
          <w:b/>
          <w:sz w:val="28"/>
        </w:rPr>
      </w:pPr>
      <w:r>
        <w:rPr>
          <w:b/>
          <w:sz w:val="28"/>
        </w:rPr>
        <w:t>FACULTY</w:t>
      </w:r>
      <w:r w:rsidR="00031C7E">
        <w:rPr>
          <w:b/>
          <w:sz w:val="28"/>
        </w:rPr>
        <w:t>:</w:t>
      </w:r>
      <w:r w:rsidR="00031C7E">
        <w:rPr>
          <w:b/>
          <w:sz w:val="28"/>
        </w:rPr>
        <w:tab/>
      </w:r>
      <w:r w:rsidR="00031C7E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31C7E">
        <w:rPr>
          <w:b/>
          <w:sz w:val="28"/>
        </w:rPr>
        <w:t>ENGLISH</w:t>
      </w:r>
    </w:p>
    <w:p w:rsidR="007877C6" w:rsidRDefault="007877C6">
      <w:pPr>
        <w:jc w:val="both"/>
        <w:rPr>
          <w:b/>
          <w:sz w:val="24"/>
        </w:rPr>
      </w:pPr>
    </w:p>
    <w:p w:rsidR="00A53F18" w:rsidRDefault="00031C7E">
      <w:pPr>
        <w:jc w:val="both"/>
        <w:rPr>
          <w:b/>
          <w:sz w:val="28"/>
        </w:rPr>
      </w:pPr>
      <w:r>
        <w:rPr>
          <w:b/>
          <w:sz w:val="28"/>
        </w:rPr>
        <w:t>JOB TITLE: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376B3">
        <w:rPr>
          <w:b/>
          <w:sz w:val="28"/>
        </w:rPr>
        <w:t xml:space="preserve">Head of English Faculty </w:t>
      </w:r>
    </w:p>
    <w:p w:rsidR="007877C6" w:rsidRDefault="003376B3" w:rsidP="00A53F18">
      <w:pPr>
        <w:ind w:left="2160" w:firstLine="720"/>
        <w:jc w:val="both"/>
        <w:rPr>
          <w:b/>
          <w:sz w:val="28"/>
        </w:rPr>
      </w:pPr>
      <w:r>
        <w:rPr>
          <w:b/>
          <w:sz w:val="28"/>
        </w:rPr>
        <w:t>(Extended Academy Leadership Team)</w:t>
      </w:r>
    </w:p>
    <w:p w:rsidR="007877C6" w:rsidRDefault="00031C7E">
      <w:r>
        <w:t xml:space="preserve">   </w:t>
      </w:r>
    </w:p>
    <w:p w:rsidR="007877C6" w:rsidRDefault="007877C6">
      <w:pPr>
        <w:jc w:val="both"/>
        <w:rPr>
          <w:rFonts w:cs="Arial"/>
          <w:b/>
          <w:sz w:val="24"/>
          <w:szCs w:val="24"/>
        </w:rPr>
      </w:pPr>
    </w:p>
    <w:p w:rsidR="007877C6" w:rsidRDefault="002C5453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THE FACULTY</w:t>
      </w:r>
    </w:p>
    <w:p w:rsidR="007877C6" w:rsidRDefault="007877C6">
      <w:pPr>
        <w:rPr>
          <w:rFonts w:cs="Arial"/>
        </w:rPr>
      </w:pPr>
    </w:p>
    <w:p w:rsidR="007877C6" w:rsidRDefault="002C5453">
      <w:pPr>
        <w:jc w:val="both"/>
        <w:rPr>
          <w:rFonts w:cs="Arial"/>
        </w:rPr>
      </w:pPr>
      <w:r>
        <w:rPr>
          <w:rFonts w:cs="Arial"/>
        </w:rPr>
        <w:t>The English faculty</w:t>
      </w:r>
      <w:r w:rsidR="00031C7E">
        <w:rPr>
          <w:rFonts w:cs="Arial"/>
        </w:rPr>
        <w:t xml:space="preserve"> plays a pivotal role in the success </w:t>
      </w:r>
      <w:r w:rsidR="003376B3">
        <w:rPr>
          <w:rFonts w:cs="Arial"/>
        </w:rPr>
        <w:t>of the Ongar Academy</w:t>
      </w:r>
      <w:r w:rsidR="00031C7E">
        <w:rPr>
          <w:rFonts w:cs="Arial"/>
        </w:rPr>
        <w:t>.   It forms part of the school’s specialism and is very highly regarded by parents and students alike</w:t>
      </w:r>
      <w:r w:rsidR="00D43293">
        <w:rPr>
          <w:rFonts w:cs="Arial"/>
        </w:rPr>
        <w:t>.  Results are consistently exceptional</w:t>
      </w:r>
      <w:r w:rsidR="00031C7E">
        <w:rPr>
          <w:rFonts w:cs="Arial"/>
        </w:rPr>
        <w:t xml:space="preserve">, but staff are not complacent and are consistently striving for further improvement.  </w:t>
      </w:r>
    </w:p>
    <w:p w:rsidR="007877C6" w:rsidRDefault="007877C6">
      <w:pPr>
        <w:jc w:val="both"/>
        <w:rPr>
          <w:rFonts w:cs="Arial"/>
        </w:rPr>
      </w:pPr>
    </w:p>
    <w:p w:rsidR="007877C6" w:rsidRDefault="00031C7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The Englis</w:t>
      </w:r>
      <w:r w:rsidR="007118E4">
        <w:rPr>
          <w:rFonts w:cs="Arial"/>
          <w:szCs w:val="22"/>
        </w:rPr>
        <w:t>h faculty</w:t>
      </w:r>
      <w:r w:rsidR="00AA2E36">
        <w:rPr>
          <w:rFonts w:cs="Arial"/>
          <w:szCs w:val="22"/>
        </w:rPr>
        <w:t xml:space="preserve"> is based in a cluster</w:t>
      </w:r>
      <w:r w:rsidR="003376B3">
        <w:rPr>
          <w:rFonts w:cs="Arial"/>
          <w:szCs w:val="22"/>
        </w:rPr>
        <w:t xml:space="preserve"> of seven </w:t>
      </w:r>
      <w:r>
        <w:rPr>
          <w:rFonts w:cs="Arial"/>
          <w:szCs w:val="22"/>
        </w:rPr>
        <w:t xml:space="preserve">adjacent classrooms.  Each classroom has a projector, an interactive whiteboard and is wireless networked.  There is also easy access to a bookable resource of 30 computers which </w:t>
      </w:r>
      <w:r w:rsidR="007118E4">
        <w:rPr>
          <w:rFonts w:cs="Arial"/>
          <w:szCs w:val="22"/>
        </w:rPr>
        <w:t>is for the sole use of the English faculty.</w:t>
      </w:r>
      <w:r>
        <w:rPr>
          <w:rFonts w:cs="Arial"/>
          <w:szCs w:val="22"/>
        </w:rPr>
        <w:t xml:space="preserve">  Each member of staff is provided with his/her own laptop.    </w:t>
      </w:r>
    </w:p>
    <w:p w:rsidR="007877C6" w:rsidRDefault="007877C6">
      <w:pPr>
        <w:jc w:val="both"/>
        <w:rPr>
          <w:rFonts w:cs="Arial"/>
          <w:sz w:val="24"/>
          <w:szCs w:val="24"/>
        </w:rPr>
      </w:pPr>
    </w:p>
    <w:p w:rsidR="007877C6" w:rsidRDefault="00176DC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The faculty’s</w:t>
      </w:r>
      <w:r w:rsidR="00031C7E">
        <w:rPr>
          <w:rFonts w:cs="Arial"/>
          <w:szCs w:val="22"/>
        </w:rPr>
        <w:t xml:space="preserve"> clear and aspirational vision underpins all of its work.   Its aspiration is for every student to acquire: </w:t>
      </w:r>
    </w:p>
    <w:p w:rsidR="007877C6" w:rsidRDefault="00031C7E">
      <w:pPr>
        <w:pStyle w:val="ListParagraph"/>
        <w:numPr>
          <w:ilvl w:val="0"/>
          <w:numId w:val="12"/>
        </w:numPr>
        <w:spacing w:before="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lifelong love of language; </w:t>
      </w:r>
    </w:p>
    <w:p w:rsidR="007877C6" w:rsidRDefault="00031C7E">
      <w:pPr>
        <w:pStyle w:val="ListParagraph"/>
        <w:numPr>
          <w:ilvl w:val="0"/>
          <w:numId w:val="12"/>
        </w:numPr>
        <w:spacing w:before="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academic excellence which is commensurate with their ability;</w:t>
      </w:r>
    </w:p>
    <w:p w:rsidR="007877C6" w:rsidRDefault="00031C7E">
      <w:pPr>
        <w:pStyle w:val="ListParagraph"/>
        <w:numPr>
          <w:ilvl w:val="0"/>
          <w:numId w:val="12"/>
        </w:numPr>
        <w:spacing w:before="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empowering command of the written and spoken word.  </w:t>
      </w:r>
    </w:p>
    <w:p w:rsidR="007877C6" w:rsidRDefault="007877C6">
      <w:pPr>
        <w:jc w:val="both"/>
        <w:rPr>
          <w:rFonts w:cs="Arial"/>
          <w:szCs w:val="22"/>
        </w:rPr>
      </w:pPr>
    </w:p>
    <w:p w:rsidR="007877C6" w:rsidRDefault="00031C7E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The opportunities for professional development afforde</w:t>
      </w:r>
      <w:r w:rsidR="00176DCA">
        <w:rPr>
          <w:rFonts w:cs="Arial"/>
          <w:szCs w:val="22"/>
        </w:rPr>
        <w:t>d to staff within the faculty</w:t>
      </w:r>
      <w:r>
        <w:rPr>
          <w:rFonts w:cs="Arial"/>
          <w:szCs w:val="22"/>
        </w:rPr>
        <w:t xml:space="preserve"> have been considerable</w:t>
      </w:r>
      <w:r w:rsidR="00A105F1">
        <w:rPr>
          <w:rFonts w:cs="Arial"/>
          <w:szCs w:val="22"/>
        </w:rPr>
        <w:t xml:space="preserve"> and are on-going.</w:t>
      </w:r>
      <w:r>
        <w:rPr>
          <w:rFonts w:cs="Arial"/>
          <w:szCs w:val="22"/>
        </w:rPr>
        <w:t xml:space="preserve">  In any academic year</w:t>
      </w:r>
      <w:r w:rsidR="00E54CAE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teachers are afforded many opportunities tailored to meet their individual needs.</w:t>
      </w:r>
      <w:r w:rsidR="00EF2814">
        <w:rPr>
          <w:rFonts w:cs="Arial"/>
          <w:szCs w:val="22"/>
        </w:rPr>
        <w:t xml:space="preserve">  These include membership of the school’s Teaching and Learning Community, PIXL and exam board conferences and visits to other English faculties within the Bridge Academy Trust to share good practice.  </w:t>
      </w:r>
    </w:p>
    <w:p w:rsidR="007877C6" w:rsidRDefault="007877C6">
      <w:pPr>
        <w:jc w:val="both"/>
        <w:rPr>
          <w:rFonts w:cs="Arial"/>
          <w:szCs w:val="22"/>
        </w:rPr>
      </w:pPr>
    </w:p>
    <w:p w:rsidR="007877C6" w:rsidRDefault="00031C7E">
      <w:pPr>
        <w:jc w:val="both"/>
        <w:rPr>
          <w:rFonts w:cs="Arial"/>
        </w:rPr>
      </w:pPr>
      <w:r>
        <w:rPr>
          <w:rFonts w:cs="Arial"/>
        </w:rPr>
        <w:t>The successful candida</w:t>
      </w:r>
      <w:r w:rsidR="00584F71">
        <w:rPr>
          <w:rFonts w:cs="Arial"/>
        </w:rPr>
        <w:t>te w</w:t>
      </w:r>
      <w:r w:rsidR="00E54CAE">
        <w:rPr>
          <w:rFonts w:cs="Arial"/>
        </w:rPr>
        <w:t xml:space="preserve">ill join a strong </w:t>
      </w:r>
      <w:r w:rsidR="008E2A86">
        <w:rPr>
          <w:rFonts w:cs="Arial"/>
        </w:rPr>
        <w:t xml:space="preserve">and experienced </w:t>
      </w:r>
      <w:r w:rsidR="003376B3">
        <w:rPr>
          <w:rFonts w:cs="Arial"/>
        </w:rPr>
        <w:t>team of seven</w:t>
      </w:r>
      <w:r>
        <w:rPr>
          <w:rFonts w:cs="Arial"/>
        </w:rPr>
        <w:t xml:space="preserve"> speciali</w:t>
      </w:r>
      <w:r w:rsidR="003376B3">
        <w:rPr>
          <w:rFonts w:cs="Arial"/>
        </w:rPr>
        <w:t>sts, one</w:t>
      </w:r>
      <w:r w:rsidR="00584F71">
        <w:rPr>
          <w:rFonts w:cs="Arial"/>
        </w:rPr>
        <w:t xml:space="preserve"> of whom </w:t>
      </w:r>
      <w:r w:rsidR="003376B3">
        <w:rPr>
          <w:rFonts w:cs="Arial"/>
        </w:rPr>
        <w:t>is the Executive Headte</w:t>
      </w:r>
      <w:r w:rsidR="00A53F18">
        <w:rPr>
          <w:rFonts w:cs="Arial"/>
        </w:rPr>
        <w:t>acher</w:t>
      </w:r>
      <w:r>
        <w:rPr>
          <w:rFonts w:cs="Arial"/>
        </w:rPr>
        <w:t xml:space="preserve">.  The </w:t>
      </w:r>
      <w:r w:rsidR="00A53F18">
        <w:rPr>
          <w:rFonts w:cs="Arial"/>
        </w:rPr>
        <w:t>post holders</w:t>
      </w:r>
      <w:r>
        <w:rPr>
          <w:rFonts w:cs="Arial"/>
        </w:rPr>
        <w:t xml:space="preserve"> are:</w:t>
      </w:r>
    </w:p>
    <w:p w:rsidR="007877C6" w:rsidRDefault="007877C6">
      <w:pPr>
        <w:jc w:val="both"/>
        <w:rPr>
          <w:rFonts w:cs="Arial"/>
          <w:sz w:val="12"/>
          <w:szCs w:val="12"/>
        </w:rPr>
      </w:pPr>
    </w:p>
    <w:p w:rsidR="007877C6" w:rsidRDefault="00336CFD">
      <w:pPr>
        <w:numPr>
          <w:ilvl w:val="0"/>
          <w:numId w:val="2"/>
        </w:numPr>
        <w:ind w:left="378"/>
        <w:jc w:val="both"/>
        <w:rPr>
          <w:rFonts w:cs="Arial"/>
        </w:rPr>
      </w:pPr>
      <w:r>
        <w:rPr>
          <w:rFonts w:cs="Arial"/>
        </w:rPr>
        <w:t>Head of Faculty.</w:t>
      </w:r>
      <w:r w:rsidR="00031C7E">
        <w:rPr>
          <w:rFonts w:cs="Arial"/>
        </w:rPr>
        <w:t xml:space="preserve"> </w:t>
      </w:r>
    </w:p>
    <w:p w:rsidR="007877C6" w:rsidRDefault="00A53F18">
      <w:pPr>
        <w:numPr>
          <w:ilvl w:val="0"/>
          <w:numId w:val="2"/>
        </w:numPr>
        <w:ind w:left="378"/>
        <w:jc w:val="both"/>
        <w:rPr>
          <w:rFonts w:cs="Arial"/>
        </w:rPr>
      </w:pPr>
      <w:r>
        <w:rPr>
          <w:rFonts w:cs="Arial"/>
        </w:rPr>
        <w:t>Second</w:t>
      </w:r>
      <w:r w:rsidR="003376B3">
        <w:rPr>
          <w:rFonts w:cs="Arial"/>
        </w:rPr>
        <w:t xml:space="preserve"> in department and Head of Media</w:t>
      </w:r>
      <w:r w:rsidR="00803C93">
        <w:rPr>
          <w:rFonts w:cs="Arial"/>
        </w:rPr>
        <w:t xml:space="preserve">. </w:t>
      </w:r>
    </w:p>
    <w:p w:rsidR="007877C6" w:rsidRDefault="007877C6">
      <w:pPr>
        <w:jc w:val="both"/>
        <w:rPr>
          <w:rFonts w:cs="Arial"/>
        </w:rPr>
      </w:pPr>
    </w:p>
    <w:p w:rsidR="007877C6" w:rsidRDefault="00031C7E">
      <w:pPr>
        <w:ind w:firstLine="60"/>
        <w:jc w:val="both"/>
        <w:rPr>
          <w:rFonts w:cs="Arial"/>
        </w:rPr>
      </w:pPr>
      <w:r>
        <w:rPr>
          <w:rFonts w:cs="Arial"/>
        </w:rPr>
        <w:t>The work of the</w:t>
      </w:r>
      <w:r w:rsidR="009961F0">
        <w:rPr>
          <w:rFonts w:cs="Arial"/>
        </w:rPr>
        <w:t xml:space="preserve"> faculty</w:t>
      </w:r>
      <w:r>
        <w:rPr>
          <w:rFonts w:cs="Arial"/>
        </w:rPr>
        <w:t xml:space="preserve"> is supported by an HLTA and an LSA.  </w:t>
      </w:r>
    </w:p>
    <w:p w:rsidR="007877C6" w:rsidRDefault="007877C6">
      <w:pPr>
        <w:ind w:firstLine="60"/>
        <w:jc w:val="both"/>
        <w:rPr>
          <w:rFonts w:cs="Arial"/>
        </w:rPr>
      </w:pPr>
    </w:p>
    <w:p w:rsidR="007877C6" w:rsidRDefault="00A60730">
      <w:pPr>
        <w:ind w:firstLine="60"/>
        <w:jc w:val="both"/>
        <w:rPr>
          <w:rFonts w:cs="Arial"/>
        </w:rPr>
      </w:pPr>
      <w:r>
        <w:rPr>
          <w:rFonts w:cs="Arial"/>
        </w:rPr>
        <w:t>The faculty</w:t>
      </w:r>
      <w:r w:rsidR="00031C7E">
        <w:rPr>
          <w:rFonts w:cs="Arial"/>
        </w:rPr>
        <w:t xml:space="preserve"> often welcomes student teachers from the local SCITT scheme</w:t>
      </w:r>
      <w:r w:rsidR="008525C9">
        <w:rPr>
          <w:rFonts w:cs="Arial"/>
        </w:rPr>
        <w:t>s</w:t>
      </w:r>
      <w:r w:rsidR="00031C7E">
        <w:rPr>
          <w:rFonts w:cs="Arial"/>
        </w:rPr>
        <w:t xml:space="preserve">. </w:t>
      </w:r>
    </w:p>
    <w:p w:rsidR="007877C6" w:rsidRDefault="007877C6">
      <w:pPr>
        <w:jc w:val="both"/>
        <w:rPr>
          <w:rFonts w:cs="Arial"/>
          <w:b/>
          <w:sz w:val="24"/>
          <w:szCs w:val="24"/>
        </w:rPr>
      </w:pPr>
    </w:p>
    <w:p w:rsidR="007877C6" w:rsidRDefault="007877C6">
      <w:pPr>
        <w:spacing w:before="60"/>
        <w:rPr>
          <w:rFonts w:cs="Arial"/>
          <w:b/>
          <w:szCs w:val="22"/>
        </w:rPr>
      </w:pPr>
    </w:p>
    <w:p w:rsidR="007877C6" w:rsidRDefault="007877C6">
      <w:pPr>
        <w:rPr>
          <w:rFonts w:cs="Arial"/>
          <w:b/>
          <w:sz w:val="24"/>
          <w:szCs w:val="24"/>
        </w:rPr>
      </w:pPr>
    </w:p>
    <w:p w:rsidR="007877C6" w:rsidRDefault="00031C7E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CURRICULUM</w:t>
      </w:r>
    </w:p>
    <w:p w:rsidR="007877C6" w:rsidRDefault="007877C6">
      <w:pPr>
        <w:rPr>
          <w:rFonts w:cs="Arial"/>
        </w:rPr>
      </w:pPr>
    </w:p>
    <w:p w:rsidR="007877C6" w:rsidRDefault="00D94AAE">
      <w:pPr>
        <w:jc w:val="both"/>
        <w:rPr>
          <w:rFonts w:cs="Arial"/>
          <w:b/>
        </w:rPr>
      </w:pPr>
      <w:r>
        <w:rPr>
          <w:rFonts w:cs="Arial"/>
          <w:b/>
        </w:rPr>
        <w:t>Years 7, 8 &amp; 9</w:t>
      </w:r>
    </w:p>
    <w:p w:rsidR="007877C6" w:rsidRDefault="009F134B">
      <w:pPr>
        <w:jc w:val="both"/>
        <w:rPr>
          <w:rFonts w:cs="Arial"/>
        </w:rPr>
      </w:pPr>
      <w:r>
        <w:rPr>
          <w:rFonts w:cs="Arial"/>
        </w:rPr>
        <w:t xml:space="preserve">In Years 7-9 </w:t>
      </w:r>
      <w:r w:rsidR="00541623">
        <w:rPr>
          <w:rFonts w:cs="Arial"/>
        </w:rPr>
        <w:t>the faculty’s</w:t>
      </w:r>
      <w:r w:rsidR="00031C7E">
        <w:rPr>
          <w:rFonts w:cs="Arial"/>
        </w:rPr>
        <w:t xml:space="preserve"> schemes of work reflect the new English curriculum and are broad, balanced and innovative. Students will read and study a wide range of 19th and 20</w:t>
      </w:r>
      <w:r w:rsidR="00031C7E">
        <w:rPr>
          <w:rFonts w:cs="Arial"/>
          <w:vertAlign w:val="superscript"/>
        </w:rPr>
        <w:t>th</w:t>
      </w:r>
      <w:r>
        <w:rPr>
          <w:rFonts w:cs="Arial"/>
        </w:rPr>
        <w:t xml:space="preserve"> c</w:t>
      </w:r>
      <w:r w:rsidR="00031C7E">
        <w:rPr>
          <w:rFonts w:cs="Arial"/>
        </w:rPr>
        <w:t>entury texts, both fiction and non-fiction. Summative assessments are formally completed in exam conditions and are designed to develop the skill</w:t>
      </w:r>
      <w:r>
        <w:rPr>
          <w:rFonts w:cs="Arial"/>
        </w:rPr>
        <w:t>s required by</w:t>
      </w:r>
      <w:r w:rsidR="00031C7E">
        <w:rPr>
          <w:rFonts w:cs="Arial"/>
        </w:rPr>
        <w:t xml:space="preserve"> the new G</w:t>
      </w:r>
      <w:r>
        <w:rPr>
          <w:rFonts w:cs="Arial"/>
        </w:rPr>
        <w:t>.</w:t>
      </w:r>
      <w:r w:rsidR="00031C7E">
        <w:rPr>
          <w:rFonts w:cs="Arial"/>
        </w:rPr>
        <w:t>C</w:t>
      </w:r>
      <w:r>
        <w:rPr>
          <w:rFonts w:cs="Arial"/>
        </w:rPr>
        <w:t>.</w:t>
      </w:r>
      <w:r w:rsidR="00031C7E">
        <w:rPr>
          <w:rFonts w:cs="Arial"/>
        </w:rPr>
        <w:t>S</w:t>
      </w:r>
      <w:r>
        <w:rPr>
          <w:rFonts w:cs="Arial"/>
        </w:rPr>
        <w:t>.</w:t>
      </w:r>
      <w:r w:rsidR="00031C7E">
        <w:rPr>
          <w:rFonts w:cs="Arial"/>
        </w:rPr>
        <w:t>E.  Up</w:t>
      </w:r>
      <w:r w:rsidR="003376B3">
        <w:rPr>
          <w:rFonts w:cs="Arial"/>
        </w:rPr>
        <w:t>on entering The Ongar Academy</w:t>
      </w:r>
      <w:r>
        <w:rPr>
          <w:rFonts w:cs="Arial"/>
        </w:rPr>
        <w:t>,</w:t>
      </w:r>
      <w:r w:rsidR="00031C7E">
        <w:rPr>
          <w:rFonts w:cs="Arial"/>
        </w:rPr>
        <w:t xml:space="preserve"> we aim to empower all our students with an expert command of the spoken and written word.</w:t>
      </w:r>
      <w:r w:rsidR="00031C7E">
        <w:rPr>
          <w:rFonts w:cs="Arial"/>
        </w:rPr>
        <w:cr/>
      </w:r>
    </w:p>
    <w:p w:rsidR="007877C6" w:rsidRDefault="00EF3981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Years 10 and 11</w:t>
      </w:r>
    </w:p>
    <w:p w:rsidR="007877C6" w:rsidRDefault="00031C7E">
      <w:pPr>
        <w:jc w:val="both"/>
        <w:rPr>
          <w:rFonts w:cs="Arial"/>
        </w:rPr>
      </w:pPr>
      <w:r>
        <w:rPr>
          <w:rFonts w:cs="Arial"/>
        </w:rPr>
        <w:t>All students take G.C.S.E.s in English Language and</w:t>
      </w:r>
      <w:r w:rsidR="00A84EC8">
        <w:rPr>
          <w:rFonts w:cs="Arial"/>
        </w:rPr>
        <w:t xml:space="preserve"> English literature.  The AQA syllabuses are followed.</w:t>
      </w:r>
      <w:r w:rsidR="00EB6A16">
        <w:rPr>
          <w:rFonts w:cs="Arial"/>
        </w:rPr>
        <w:t xml:space="preserve">  </w:t>
      </w:r>
      <w:r>
        <w:rPr>
          <w:rFonts w:cs="Arial"/>
        </w:rPr>
        <w:t xml:space="preserve">G.C.S.E. Media studies is offered as an option.  </w:t>
      </w:r>
    </w:p>
    <w:p w:rsidR="007877C6" w:rsidRDefault="007877C6">
      <w:pPr>
        <w:jc w:val="both"/>
        <w:rPr>
          <w:rFonts w:cs="Arial"/>
        </w:rPr>
      </w:pPr>
    </w:p>
    <w:p w:rsidR="00D63981" w:rsidRDefault="00D63981" w:rsidP="00D63981">
      <w:pPr>
        <w:jc w:val="both"/>
        <w:rPr>
          <w:rFonts w:cs="Arial"/>
        </w:rPr>
      </w:pPr>
      <w:r>
        <w:rPr>
          <w:rFonts w:cs="Arial"/>
          <w:b/>
        </w:rPr>
        <w:t>Years 12 and 13</w:t>
      </w:r>
    </w:p>
    <w:p w:rsidR="007877C6" w:rsidRDefault="003376B3">
      <w:pPr>
        <w:jc w:val="both"/>
        <w:rPr>
          <w:rFonts w:cs="Arial"/>
        </w:rPr>
      </w:pPr>
      <w:r>
        <w:rPr>
          <w:rFonts w:cs="Arial"/>
        </w:rPr>
        <w:t xml:space="preserve">We offer </w:t>
      </w:r>
      <w:r w:rsidR="009F290A">
        <w:rPr>
          <w:rFonts w:cs="Arial"/>
        </w:rPr>
        <w:t>A level</w:t>
      </w:r>
      <w:r>
        <w:rPr>
          <w:rFonts w:cs="Arial"/>
        </w:rPr>
        <w:t xml:space="preserve"> English Literature</w:t>
      </w:r>
    </w:p>
    <w:p w:rsidR="003376B3" w:rsidRPr="00593AD2" w:rsidRDefault="003376B3">
      <w:pPr>
        <w:jc w:val="both"/>
        <w:rPr>
          <w:rFonts w:cs="Arial"/>
        </w:rPr>
      </w:pPr>
    </w:p>
    <w:p w:rsidR="007877C6" w:rsidRDefault="00031C7E">
      <w:pPr>
        <w:pBdr>
          <w:bottom w:val="single" w:sz="4" w:space="1" w:color="auto"/>
        </w:pBd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ENRICHMENT ACTIVITIES</w:t>
      </w:r>
    </w:p>
    <w:p w:rsidR="007877C6" w:rsidRDefault="007877C6">
      <w:pPr>
        <w:jc w:val="both"/>
        <w:rPr>
          <w:rFonts w:cs="Arial"/>
          <w:szCs w:val="22"/>
        </w:rPr>
      </w:pPr>
    </w:p>
    <w:p w:rsidR="007877C6" w:rsidRDefault="00593AD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The English faculty</w:t>
      </w:r>
      <w:r w:rsidR="00031C7E">
        <w:rPr>
          <w:rFonts w:cs="Arial"/>
          <w:szCs w:val="22"/>
        </w:rPr>
        <w:t xml:space="preserve"> offers a wide variety of enrichment opportunitie</w:t>
      </w:r>
      <w:r w:rsidR="004631DF">
        <w:rPr>
          <w:rFonts w:cs="Arial"/>
          <w:szCs w:val="22"/>
        </w:rPr>
        <w:t xml:space="preserve">s for students across years 7-13. </w:t>
      </w:r>
      <w:r w:rsidR="00031C7E">
        <w:rPr>
          <w:rFonts w:cs="Arial"/>
          <w:szCs w:val="22"/>
        </w:rPr>
        <w:t xml:space="preserve"> A variety of clubs are offered each week. </w:t>
      </w:r>
    </w:p>
    <w:p w:rsidR="007877C6" w:rsidRDefault="007877C6">
      <w:pPr>
        <w:jc w:val="both"/>
        <w:rPr>
          <w:rFonts w:cs="Arial"/>
          <w:szCs w:val="22"/>
        </w:rPr>
      </w:pPr>
    </w:p>
    <w:p w:rsidR="007877C6" w:rsidRDefault="00031C7E" w:rsidP="004063F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Many enrichment activities are offered in conjunction with the </w:t>
      </w:r>
      <w:r w:rsidR="004063F8">
        <w:rPr>
          <w:rFonts w:cs="Arial"/>
          <w:szCs w:val="22"/>
        </w:rPr>
        <w:t xml:space="preserve">library at </w:t>
      </w:r>
      <w:r w:rsidR="003376B3">
        <w:rPr>
          <w:rFonts w:cs="Arial"/>
          <w:szCs w:val="22"/>
        </w:rPr>
        <w:t>The Ongar Academy</w:t>
      </w:r>
    </w:p>
    <w:p w:rsidR="007877C6" w:rsidRDefault="00031C7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7877C6" w:rsidRDefault="00031C7E">
      <w:pPr>
        <w:pBdr>
          <w:bottom w:val="single" w:sz="4" w:space="1" w:color="auto"/>
        </w:pBd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THE POST</w:t>
      </w:r>
    </w:p>
    <w:p w:rsidR="007877C6" w:rsidRDefault="007877C6">
      <w:pPr>
        <w:jc w:val="both"/>
        <w:rPr>
          <w:rFonts w:cs="Arial"/>
        </w:rPr>
      </w:pPr>
    </w:p>
    <w:p w:rsidR="00FC375D" w:rsidRDefault="00031C7E">
      <w:pPr>
        <w:jc w:val="both"/>
        <w:rPr>
          <w:rFonts w:cs="Arial"/>
        </w:rPr>
      </w:pPr>
      <w:r>
        <w:rPr>
          <w:rFonts w:cs="Arial"/>
        </w:rPr>
        <w:t xml:space="preserve">We are looking for an enthusiastic </w:t>
      </w:r>
      <w:r w:rsidR="00A53F18">
        <w:rPr>
          <w:rFonts w:cs="Arial"/>
        </w:rPr>
        <w:t xml:space="preserve">Head of Faculty - </w:t>
      </w:r>
      <w:r>
        <w:rPr>
          <w:rFonts w:cs="Arial"/>
        </w:rPr>
        <w:t xml:space="preserve">English </w:t>
      </w:r>
      <w:r w:rsidR="002D275F">
        <w:rPr>
          <w:rFonts w:cs="Arial"/>
        </w:rPr>
        <w:t xml:space="preserve">with academic rigour </w:t>
      </w:r>
      <w:r>
        <w:rPr>
          <w:rFonts w:cs="Arial"/>
        </w:rPr>
        <w:t>who will inspire students and contribute to the</w:t>
      </w:r>
      <w:r w:rsidR="00A567D7">
        <w:rPr>
          <w:rFonts w:cs="Arial"/>
        </w:rPr>
        <w:t xml:space="preserve"> department’s academic succ</w:t>
      </w:r>
      <w:r w:rsidR="003376B3">
        <w:rPr>
          <w:rFonts w:cs="Arial"/>
        </w:rPr>
        <w:t>ess.</w:t>
      </w:r>
    </w:p>
    <w:p w:rsidR="00A567D7" w:rsidRDefault="00A567D7">
      <w:pPr>
        <w:jc w:val="both"/>
        <w:rPr>
          <w:rFonts w:cs="Arial"/>
        </w:rPr>
      </w:pPr>
    </w:p>
    <w:p w:rsidR="007877C6" w:rsidRDefault="00031C7E">
      <w:pPr>
        <w:jc w:val="both"/>
        <w:rPr>
          <w:rFonts w:cs="Arial"/>
        </w:rPr>
      </w:pPr>
      <w:r>
        <w:rPr>
          <w:rFonts w:cs="Arial"/>
        </w:rPr>
        <w:t>The successful candidate will teach English up to and</w:t>
      </w:r>
      <w:r w:rsidR="00A87110">
        <w:rPr>
          <w:rFonts w:cs="Arial"/>
        </w:rPr>
        <w:t xml:space="preserve"> including GCSE</w:t>
      </w:r>
      <w:r w:rsidR="003376B3">
        <w:rPr>
          <w:rFonts w:cs="Arial"/>
        </w:rPr>
        <w:t xml:space="preserve"> and A Level English</w:t>
      </w:r>
      <w:r w:rsidR="00A87110">
        <w:rPr>
          <w:rFonts w:cs="Arial"/>
        </w:rPr>
        <w:t xml:space="preserve">. </w:t>
      </w:r>
      <w:r>
        <w:rPr>
          <w:rFonts w:cs="Arial"/>
        </w:rPr>
        <w:t xml:space="preserve">   </w:t>
      </w:r>
    </w:p>
    <w:p w:rsidR="007877C6" w:rsidRDefault="007877C6">
      <w:pPr>
        <w:jc w:val="both"/>
        <w:rPr>
          <w:rFonts w:cs="Arial"/>
        </w:rPr>
      </w:pPr>
    </w:p>
    <w:p w:rsidR="007877C6" w:rsidRDefault="00031C7E">
      <w:pPr>
        <w:jc w:val="both"/>
        <w:rPr>
          <w:rFonts w:cs="Arial"/>
        </w:rPr>
      </w:pPr>
      <w:r>
        <w:rPr>
          <w:rFonts w:cs="Arial"/>
        </w:rPr>
        <w:t>NQ</w:t>
      </w:r>
      <w:r w:rsidR="00FC375D">
        <w:rPr>
          <w:rFonts w:cs="Arial"/>
        </w:rPr>
        <w:t>Ts teach a reduced timetable</w:t>
      </w:r>
      <w:r>
        <w:rPr>
          <w:rFonts w:cs="Arial"/>
        </w:rPr>
        <w:t xml:space="preserve"> and are allocated a</w:t>
      </w:r>
      <w:r w:rsidR="006161B5">
        <w:rPr>
          <w:rFonts w:cs="Arial"/>
        </w:rPr>
        <w:t xml:space="preserve"> mentor within their faculties</w:t>
      </w:r>
      <w:r>
        <w:rPr>
          <w:rFonts w:cs="Arial"/>
        </w:rPr>
        <w:t xml:space="preserve">.  They also participate in an extensive induction programme which is led by an Assistant Headteacher and lasts for the entire NQT year.  </w:t>
      </w:r>
    </w:p>
    <w:p w:rsidR="007877C6" w:rsidRDefault="00031C7E">
      <w:pPr>
        <w:spacing w:before="80"/>
        <w:jc w:val="both"/>
      </w:pPr>
      <w:r>
        <w:rPr>
          <w:b/>
        </w:rPr>
        <w:t xml:space="preserve">  </w:t>
      </w:r>
    </w:p>
    <w:p w:rsidR="007877C6" w:rsidRDefault="00031C7E">
      <w:pPr>
        <w:jc w:val="both"/>
        <w:rPr>
          <w:b/>
          <w:szCs w:val="22"/>
        </w:rPr>
      </w:pPr>
      <w:r>
        <w:rPr>
          <w:b/>
          <w:szCs w:val="22"/>
        </w:rPr>
        <w:t xml:space="preserve">All staff at </w:t>
      </w:r>
      <w:r w:rsidR="003376B3">
        <w:rPr>
          <w:b/>
          <w:szCs w:val="22"/>
        </w:rPr>
        <w:t xml:space="preserve">The Ongar Academy </w:t>
      </w:r>
      <w:r>
        <w:rPr>
          <w:b/>
          <w:szCs w:val="22"/>
        </w:rPr>
        <w:t>are expected to:</w:t>
      </w:r>
    </w:p>
    <w:p w:rsidR="007877C6" w:rsidRDefault="00031C7E">
      <w:pPr>
        <w:numPr>
          <w:ilvl w:val="0"/>
          <w:numId w:val="1"/>
        </w:numPr>
        <w:tabs>
          <w:tab w:val="clear" w:pos="720"/>
          <w:tab w:val="num" w:pos="-1701"/>
        </w:tabs>
        <w:spacing w:before="60"/>
        <w:ind w:left="462" w:hanging="425"/>
        <w:jc w:val="both"/>
        <w:rPr>
          <w:szCs w:val="22"/>
        </w:rPr>
      </w:pPr>
      <w:r>
        <w:rPr>
          <w:szCs w:val="22"/>
        </w:rPr>
        <w:t>participate in the performance management and development review processes, taking personal responsibility for identification of learning, development and training opportunities in discussion with their line manager;</w:t>
      </w:r>
    </w:p>
    <w:p w:rsidR="007877C6" w:rsidRDefault="00031C7E">
      <w:pPr>
        <w:numPr>
          <w:ilvl w:val="0"/>
          <w:numId w:val="1"/>
        </w:numPr>
        <w:tabs>
          <w:tab w:val="clear" w:pos="720"/>
          <w:tab w:val="num" w:pos="-1701"/>
        </w:tabs>
        <w:spacing w:before="60"/>
        <w:ind w:left="462" w:hanging="425"/>
        <w:jc w:val="both"/>
        <w:rPr>
          <w:szCs w:val="22"/>
        </w:rPr>
      </w:pPr>
      <w:r>
        <w:rPr>
          <w:szCs w:val="22"/>
        </w:rPr>
        <w:t>comply with individual responsibilities, in accordance with the role, for health &amp; safety in the workplace;</w:t>
      </w:r>
    </w:p>
    <w:p w:rsidR="007877C6" w:rsidRDefault="00A53F18">
      <w:pPr>
        <w:numPr>
          <w:ilvl w:val="0"/>
          <w:numId w:val="1"/>
        </w:numPr>
        <w:tabs>
          <w:tab w:val="clear" w:pos="720"/>
          <w:tab w:val="num" w:pos="-1701"/>
        </w:tabs>
        <w:spacing w:before="60"/>
        <w:ind w:left="462" w:hanging="425"/>
        <w:jc w:val="both"/>
        <w:rPr>
          <w:szCs w:val="22"/>
        </w:rPr>
      </w:pPr>
      <w:r>
        <w:rPr>
          <w:szCs w:val="22"/>
        </w:rPr>
        <w:t>Ensure</w:t>
      </w:r>
      <w:r w:rsidR="00031C7E">
        <w:rPr>
          <w:szCs w:val="22"/>
        </w:rPr>
        <w:t xml:space="preserve"> that all duties and services provided are in accordance with the school’s equal opportunities policy.</w:t>
      </w:r>
    </w:p>
    <w:p w:rsidR="007877C6" w:rsidRDefault="007877C6">
      <w:pPr>
        <w:jc w:val="both"/>
        <w:rPr>
          <w:szCs w:val="22"/>
        </w:rPr>
      </w:pPr>
    </w:p>
    <w:p w:rsidR="007877C6" w:rsidRDefault="00031C7E">
      <w:pPr>
        <w:jc w:val="both"/>
        <w:rPr>
          <w:szCs w:val="22"/>
        </w:rPr>
      </w:pPr>
      <w:r>
        <w:rPr>
          <w:szCs w:val="22"/>
        </w:rPr>
        <w:t>The duties above are neither exclusive nor exhaustive and the post holder ma</w:t>
      </w:r>
      <w:r w:rsidR="00FC447F">
        <w:rPr>
          <w:szCs w:val="22"/>
        </w:rPr>
        <w:t xml:space="preserve">y be required by the </w:t>
      </w:r>
      <w:r w:rsidR="003376B3">
        <w:rPr>
          <w:szCs w:val="22"/>
        </w:rPr>
        <w:t xml:space="preserve">Executive Headteacher </w:t>
      </w:r>
      <w:r>
        <w:rPr>
          <w:szCs w:val="22"/>
        </w:rPr>
        <w:t>to carry out appropriate duties within the context of the job, skills and grade.</w:t>
      </w:r>
    </w:p>
    <w:p w:rsidR="007877C6" w:rsidRDefault="007877C6">
      <w:pPr>
        <w:jc w:val="both"/>
        <w:rPr>
          <w:szCs w:val="22"/>
        </w:rPr>
      </w:pPr>
    </w:p>
    <w:p w:rsidR="007877C6" w:rsidRDefault="00031C7E">
      <w:pPr>
        <w:jc w:val="both"/>
        <w:rPr>
          <w:szCs w:val="22"/>
        </w:rPr>
      </w:pPr>
      <w:r>
        <w:rPr>
          <w:szCs w:val="22"/>
        </w:rPr>
        <w:t>The governing body is committed to safeguarding and promoting the welfare of children and young people and expects all staff and volunteers to share this commitment.</w:t>
      </w:r>
      <w:r>
        <w:rPr>
          <w:szCs w:val="22"/>
        </w:rPr>
        <w:tab/>
      </w:r>
      <w:r>
        <w:rPr>
          <w:szCs w:val="22"/>
        </w:rPr>
        <w:tab/>
      </w:r>
    </w:p>
    <w:p w:rsidR="007877C6" w:rsidRDefault="007877C6">
      <w:pPr>
        <w:jc w:val="both"/>
        <w:rPr>
          <w:szCs w:val="22"/>
        </w:rPr>
      </w:pPr>
    </w:p>
    <w:p w:rsidR="007877C6" w:rsidRDefault="006F6FDC">
      <w:pPr>
        <w:spacing w:before="12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A53F18">
        <w:rPr>
          <w:sz w:val="16"/>
          <w:szCs w:val="16"/>
        </w:rPr>
        <w:t>January 2020</w:t>
      </w:r>
      <w:r w:rsidR="00031C7E">
        <w:rPr>
          <w:sz w:val="16"/>
          <w:szCs w:val="16"/>
        </w:rPr>
        <w:t>)</w:t>
      </w:r>
    </w:p>
    <w:p w:rsidR="007877C6" w:rsidRDefault="00031C7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877C6" w:rsidRDefault="007877C6"/>
    <w:p w:rsidR="007877C6" w:rsidRPr="00F320B6" w:rsidRDefault="00031C7E" w:rsidP="00A53F18">
      <w:pPr>
        <w:ind w:left="2880" w:firstLine="720"/>
        <w:rPr>
          <w:b/>
          <w:caps/>
          <w:sz w:val="24"/>
          <w:szCs w:val="32"/>
        </w:rPr>
      </w:pPr>
      <w:r w:rsidRPr="00F320B6">
        <w:rPr>
          <w:b/>
          <w:caps/>
          <w:sz w:val="24"/>
          <w:szCs w:val="32"/>
        </w:rPr>
        <w:t>Person Specification</w:t>
      </w:r>
    </w:p>
    <w:p w:rsidR="007877C6" w:rsidRDefault="007877C6">
      <w:pPr>
        <w:jc w:val="center"/>
        <w:rPr>
          <w:b/>
          <w:caps/>
          <w:sz w:val="24"/>
          <w:szCs w:val="32"/>
        </w:rPr>
      </w:pPr>
    </w:p>
    <w:p w:rsidR="003E06E2" w:rsidRDefault="003E06E2">
      <w:pPr>
        <w:rPr>
          <w:color w:val="000000"/>
          <w:sz w:val="16"/>
          <w:szCs w:val="16"/>
        </w:rPr>
      </w:pPr>
    </w:p>
    <w:p w:rsidR="007877C6" w:rsidRDefault="003E06E2">
      <w:pPr>
        <w:rPr>
          <w:color w:val="000000"/>
          <w:sz w:val="20"/>
        </w:rPr>
      </w:pPr>
      <w:r>
        <w:rPr>
          <w:color w:val="000000"/>
          <w:sz w:val="20"/>
        </w:rPr>
        <w:t xml:space="preserve"> The qualities and attributes</w:t>
      </w:r>
      <w:r w:rsidR="00031C7E">
        <w:rPr>
          <w:color w:val="000000"/>
          <w:sz w:val="20"/>
        </w:rPr>
        <w:t xml:space="preserve"> marked ‘Essential’ must be demonstrable at the point of interview.</w:t>
      </w:r>
    </w:p>
    <w:p w:rsidR="003376B3" w:rsidRDefault="003376B3">
      <w:pPr>
        <w:rPr>
          <w:color w:val="000000"/>
          <w:sz w:val="20"/>
        </w:rPr>
      </w:pPr>
    </w:p>
    <w:p w:rsidR="003376B3" w:rsidRDefault="003376B3" w:rsidP="003376B3"/>
    <w:p w:rsidR="003376B3" w:rsidRDefault="003376B3">
      <w:pPr>
        <w:rPr>
          <w:color w:val="000000"/>
          <w:sz w:val="20"/>
        </w:rPr>
      </w:pPr>
    </w:p>
    <w:tbl>
      <w:tblPr>
        <w:tblStyle w:val="TableGrid"/>
        <w:tblW w:w="9911" w:type="dxa"/>
        <w:jc w:val="center"/>
        <w:tblLayout w:type="fixed"/>
        <w:tblLook w:val="01E0" w:firstRow="1" w:lastRow="1" w:firstColumn="1" w:lastColumn="1" w:noHBand="0" w:noVBand="0"/>
      </w:tblPr>
      <w:tblGrid>
        <w:gridCol w:w="7106"/>
        <w:gridCol w:w="1402"/>
        <w:gridCol w:w="1403"/>
      </w:tblGrid>
      <w:tr w:rsidR="003376B3" w:rsidTr="003376B3">
        <w:trPr>
          <w:jc w:val="center"/>
        </w:trPr>
        <w:tc>
          <w:tcPr>
            <w:tcW w:w="7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376B3" w:rsidRDefault="003376B3" w:rsidP="008A08EB">
            <w:pPr>
              <w:jc w:val="center"/>
              <w:rPr>
                <w:b/>
              </w:rPr>
            </w:pPr>
            <w:r>
              <w:rPr>
                <w:b/>
              </w:rPr>
              <w:t>Qualities and Attributes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376B3" w:rsidRDefault="003376B3" w:rsidP="008A08EB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376B3" w:rsidRDefault="003376B3" w:rsidP="008A08EB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3376B3" w:rsidTr="003376B3">
        <w:trPr>
          <w:trHeight w:val="340"/>
          <w:jc w:val="center"/>
        </w:trPr>
        <w:tc>
          <w:tcPr>
            <w:tcW w:w="99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rPr>
                <w:b/>
              </w:rPr>
              <w:t>Qualifications</w:t>
            </w: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both"/>
            </w:pPr>
            <w:r>
              <w:t>Good quality Honours degree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>PGCE, or equivalent, in Secondary Education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>Qualified Teacher Status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99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rPr>
                <w:b/>
              </w:rPr>
              <w:t>Experience</w:t>
            </w: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>Proven success of teaching English at KS3, KS4 and KS5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 xml:space="preserve">Some  leadership and management experience within an English department and proof of impact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99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rPr>
                <w:b/>
              </w:rPr>
              <w:t>Knowledge / Skills</w:t>
            </w: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>Strong subject knowledge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 xml:space="preserve">An understanding of what makes outstanding teaching and learning and the ability to put this into practice. 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 xml:space="preserve">An ability to use data to monitor student progress and inform curriculum planning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 xml:space="preserve">Familiarity with Raiseonline and ALPs data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3376B3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 xml:space="preserve">An understanding of best practice when quality assuring the work of the department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 xml:space="preserve">The ability to put effective intervention in place for under achieving students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  <w:rPr>
                <w:rFonts w:cs="Arial"/>
              </w:rPr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 xml:space="preserve">An understanding of the qualities of a successful scheme of work and the key principles of assessment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  <w:rPr>
                <w:rFonts w:cs="Arial"/>
              </w:rPr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 xml:space="preserve">The ability to coach and mentor other teachers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  <w:rPr>
                <w:rFonts w:cs="Arial"/>
              </w:rPr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>An ability to forge good working relationships with staff and students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>Organisational skills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 xml:space="preserve">Knowledge and understanding of current developments in English teaching  and also of relevant wider educational issues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 xml:space="preserve">Well - developed behaviour management skills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>Ensure that whole school policies are implemented consistently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99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rPr>
                <w:b/>
              </w:rPr>
              <w:t>Personal</w:t>
            </w: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 xml:space="preserve">Ability to work hard under pressure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>Ability to prioritise and meet deadlines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>Commitment to continued personal development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 xml:space="preserve">Commitment to contribute to the wider life of the school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99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rPr>
                <w:b/>
              </w:rPr>
              <w:t>General</w:t>
            </w: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>Good attendance and punctuality record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  <w:tr w:rsidR="003376B3" w:rsidTr="003376B3">
        <w:trPr>
          <w:trHeight w:val="340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</w:pPr>
            <w:r>
              <w:t>Professional dress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6B3" w:rsidRDefault="003376B3" w:rsidP="008A08EB">
            <w:pPr>
              <w:spacing w:before="20" w:after="20"/>
              <w:jc w:val="center"/>
            </w:pPr>
          </w:p>
        </w:tc>
      </w:tr>
    </w:tbl>
    <w:p w:rsidR="003376B3" w:rsidRDefault="003376B3" w:rsidP="003376B3"/>
    <w:p w:rsidR="003376B3" w:rsidRDefault="003376B3">
      <w:pPr>
        <w:rPr>
          <w:color w:val="000000"/>
          <w:sz w:val="20"/>
        </w:rPr>
      </w:pPr>
    </w:p>
    <w:sectPr w:rsidR="003376B3">
      <w:pgSz w:w="11907" w:h="16840"/>
      <w:pgMar w:top="85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70" w:rsidRDefault="00F94670">
      <w:r>
        <w:separator/>
      </w:r>
    </w:p>
  </w:endnote>
  <w:endnote w:type="continuationSeparator" w:id="0">
    <w:p w:rsidR="00F94670" w:rsidRDefault="00F9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70" w:rsidRDefault="00F94670">
      <w:r>
        <w:separator/>
      </w:r>
    </w:p>
  </w:footnote>
  <w:footnote w:type="continuationSeparator" w:id="0">
    <w:p w:rsidR="00F94670" w:rsidRDefault="00F9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A99"/>
    <w:multiLevelType w:val="hybridMultilevel"/>
    <w:tmpl w:val="208CF9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77733"/>
    <w:multiLevelType w:val="hybridMultilevel"/>
    <w:tmpl w:val="59A21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405"/>
    <w:multiLevelType w:val="hybridMultilevel"/>
    <w:tmpl w:val="654E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491"/>
    <w:multiLevelType w:val="hybridMultilevel"/>
    <w:tmpl w:val="7568A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93A56"/>
    <w:multiLevelType w:val="hybridMultilevel"/>
    <w:tmpl w:val="70F26A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6757A5"/>
    <w:multiLevelType w:val="hybridMultilevel"/>
    <w:tmpl w:val="2E56E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50381"/>
    <w:multiLevelType w:val="hybridMultilevel"/>
    <w:tmpl w:val="29540A70"/>
    <w:lvl w:ilvl="0" w:tplc="A78078F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4FB51F62"/>
    <w:multiLevelType w:val="hybridMultilevel"/>
    <w:tmpl w:val="417A5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6379"/>
    <w:multiLevelType w:val="hybridMultilevel"/>
    <w:tmpl w:val="DF6E2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74A08"/>
    <w:multiLevelType w:val="hybridMultilevel"/>
    <w:tmpl w:val="1BEC7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66BA5"/>
    <w:multiLevelType w:val="hybridMultilevel"/>
    <w:tmpl w:val="B57AB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C4A22"/>
    <w:multiLevelType w:val="hybridMultilevel"/>
    <w:tmpl w:val="8BD0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C6"/>
    <w:rsid w:val="000240FA"/>
    <w:rsid w:val="00031C7E"/>
    <w:rsid w:val="00031CCB"/>
    <w:rsid w:val="00093047"/>
    <w:rsid w:val="000A2699"/>
    <w:rsid w:val="00141EAF"/>
    <w:rsid w:val="0017616F"/>
    <w:rsid w:val="00176DCA"/>
    <w:rsid w:val="001F7563"/>
    <w:rsid w:val="00204EDB"/>
    <w:rsid w:val="002C1106"/>
    <w:rsid w:val="002C5453"/>
    <w:rsid w:val="002D275F"/>
    <w:rsid w:val="00336CFD"/>
    <w:rsid w:val="003376B3"/>
    <w:rsid w:val="003E06E2"/>
    <w:rsid w:val="003E4660"/>
    <w:rsid w:val="004063F8"/>
    <w:rsid w:val="004631DF"/>
    <w:rsid w:val="00501B75"/>
    <w:rsid w:val="0053367C"/>
    <w:rsid w:val="00541623"/>
    <w:rsid w:val="00584F71"/>
    <w:rsid w:val="00593AD2"/>
    <w:rsid w:val="006161B5"/>
    <w:rsid w:val="00620A14"/>
    <w:rsid w:val="00624016"/>
    <w:rsid w:val="006825AE"/>
    <w:rsid w:val="006C167B"/>
    <w:rsid w:val="006D2825"/>
    <w:rsid w:val="006F6FDC"/>
    <w:rsid w:val="00700019"/>
    <w:rsid w:val="007118E4"/>
    <w:rsid w:val="007754E7"/>
    <w:rsid w:val="0078045E"/>
    <w:rsid w:val="007819F1"/>
    <w:rsid w:val="007877C6"/>
    <w:rsid w:val="007B2423"/>
    <w:rsid w:val="00803C93"/>
    <w:rsid w:val="0081090F"/>
    <w:rsid w:val="008525C9"/>
    <w:rsid w:val="008E2A86"/>
    <w:rsid w:val="009418F9"/>
    <w:rsid w:val="009826D1"/>
    <w:rsid w:val="009961F0"/>
    <w:rsid w:val="009A54AE"/>
    <w:rsid w:val="009F134B"/>
    <w:rsid w:val="009F290A"/>
    <w:rsid w:val="00A028AA"/>
    <w:rsid w:val="00A105F1"/>
    <w:rsid w:val="00A53D50"/>
    <w:rsid w:val="00A53F18"/>
    <w:rsid w:val="00A567D7"/>
    <w:rsid w:val="00A60730"/>
    <w:rsid w:val="00A84EC8"/>
    <w:rsid w:val="00A87110"/>
    <w:rsid w:val="00A91FD3"/>
    <w:rsid w:val="00AA2E36"/>
    <w:rsid w:val="00AA6DA7"/>
    <w:rsid w:val="00AE2A01"/>
    <w:rsid w:val="00B50819"/>
    <w:rsid w:val="00B97EDE"/>
    <w:rsid w:val="00BA15DA"/>
    <w:rsid w:val="00BD43DC"/>
    <w:rsid w:val="00C167BC"/>
    <w:rsid w:val="00CD1340"/>
    <w:rsid w:val="00CD5429"/>
    <w:rsid w:val="00D43293"/>
    <w:rsid w:val="00D60B0F"/>
    <w:rsid w:val="00D63981"/>
    <w:rsid w:val="00D94AAE"/>
    <w:rsid w:val="00DB1794"/>
    <w:rsid w:val="00E231B0"/>
    <w:rsid w:val="00E512E8"/>
    <w:rsid w:val="00E53F87"/>
    <w:rsid w:val="00E54CAE"/>
    <w:rsid w:val="00E90543"/>
    <w:rsid w:val="00EA0038"/>
    <w:rsid w:val="00EB6A16"/>
    <w:rsid w:val="00EE123D"/>
    <w:rsid w:val="00EF2814"/>
    <w:rsid w:val="00EF3981"/>
    <w:rsid w:val="00F320B6"/>
    <w:rsid w:val="00F94670"/>
    <w:rsid w:val="00FC375D"/>
    <w:rsid w:val="00F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A4F7F4-1E85-47BA-87FF-00218FAA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CCEE-5771-4819-A41C-C4321E15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5018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olearyliam</dc:creator>
  <cp:lastModifiedBy>Kevin Adams</cp:lastModifiedBy>
  <cp:revision>2</cp:revision>
  <cp:lastPrinted>2012-04-11T08:45:00Z</cp:lastPrinted>
  <dcterms:created xsi:type="dcterms:W3CDTF">2020-01-15T07:05:00Z</dcterms:created>
  <dcterms:modified xsi:type="dcterms:W3CDTF">2020-01-15T07:05:00Z</dcterms:modified>
</cp:coreProperties>
</file>