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69" w:rsidRPr="007D2169" w:rsidRDefault="007D2169" w:rsidP="007D2169">
      <w:pPr>
        <w:jc w:val="center"/>
        <w:rPr>
          <w:b/>
          <w:noProof/>
          <w:sz w:val="24"/>
        </w:rPr>
      </w:pPr>
      <w:r w:rsidRPr="007D2169">
        <w:rPr>
          <w:b/>
          <w:noProof/>
          <w:sz w:val="24"/>
        </w:rPr>
        <w:t xml:space="preserve">Job Description – </w:t>
      </w:r>
      <w:r w:rsidR="006E5321">
        <w:rPr>
          <w:b/>
          <w:noProof/>
          <w:sz w:val="24"/>
        </w:rPr>
        <w:t>Assistant Principal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bookmarkStart w:id="0" w:name="_GoBack" w:colFirst="1" w:colLast="1"/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:rsidR="007D2169" w:rsidRDefault="006E5321" w:rsidP="007D216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noProof/>
                <w:sz w:val="24"/>
              </w:rPr>
              <w:t>Assistant Principal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:rsidR="007D2169" w:rsidRPr="006E5321" w:rsidRDefault="006E5321" w:rsidP="006E5321">
            <w:pPr>
              <w:rPr>
                <w:rFonts w:cs="Arial"/>
              </w:rPr>
            </w:pPr>
            <w:r>
              <w:rPr>
                <w:rFonts w:cs="Arial"/>
              </w:rPr>
              <w:t>To strategically improve the quality of education for all students and support the Academy’s journey to outstanding</w:t>
            </w:r>
            <w:r w:rsidRPr="004C1142">
              <w:rPr>
                <w:rFonts w:cs="Arial"/>
              </w:rPr>
              <w:t>.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:rsidR="007D2169" w:rsidRPr="00515041" w:rsidRDefault="006E5321" w:rsidP="007D2169">
            <w:pPr>
              <w:jc w:val="both"/>
            </w:pPr>
            <w:r>
              <w:t>The Principal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:rsidR="007D2169" w:rsidRPr="00515041" w:rsidRDefault="006E5321" w:rsidP="006E5321">
            <w:r w:rsidRPr="004C1142">
              <w:t>Any staff to which specific line management responsibility has been assigned.</w:t>
            </w:r>
          </w:p>
        </w:tc>
      </w:tr>
      <w:tr w:rsidR="006E5321" w:rsidTr="007D2169">
        <w:trPr>
          <w:trHeight w:val="1334"/>
        </w:trPr>
        <w:tc>
          <w:tcPr>
            <w:tcW w:w="2022" w:type="dxa"/>
            <w:vAlign w:val="center"/>
          </w:tcPr>
          <w:p w:rsidR="006E5321" w:rsidRDefault="006E5321" w:rsidP="006E532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6E5321" w:rsidRDefault="006E5321" w:rsidP="006E532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Accountabilities:</w:t>
            </w:r>
          </w:p>
          <w:p w:rsidR="006E5321" w:rsidRPr="007D2169" w:rsidRDefault="006E5321" w:rsidP="006E5321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:rsidR="006E5321" w:rsidRDefault="006E5321" w:rsidP="006E5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:rsidR="006E5321" w:rsidRDefault="006E5321" w:rsidP="006E5321">
            <w:pPr>
              <w:tabs>
                <w:tab w:val="left" w:pos="806"/>
              </w:tabs>
              <w:ind w:left="360"/>
              <w:rPr>
                <w:rFonts w:cs="Arial"/>
                <w:b/>
              </w:rPr>
            </w:pPr>
          </w:p>
          <w:p w:rsidR="006E5321" w:rsidRPr="009138AB" w:rsidRDefault="006E5321" w:rsidP="006E5321">
            <w:pPr>
              <w:pStyle w:val="ListParagraph"/>
              <w:numPr>
                <w:ilvl w:val="0"/>
                <w:numId w:val="10"/>
              </w:numPr>
              <w:tabs>
                <w:tab w:val="left" w:pos="806"/>
              </w:tabs>
              <w:spacing w:after="0" w:line="240" w:lineRule="auto"/>
              <w:rPr>
                <w:rFonts w:cs="Arial"/>
              </w:rPr>
            </w:pPr>
            <w:r w:rsidRPr="004C1142">
              <w:rPr>
                <w:rFonts w:cs="Arial"/>
                <w:b/>
              </w:rPr>
              <w:t>Policy/Strategic direction and</w:t>
            </w:r>
            <w:r w:rsidRPr="009138AB">
              <w:rPr>
                <w:rFonts w:cs="Arial"/>
                <w:b/>
              </w:rPr>
              <w:t xml:space="preserve"> development</w:t>
            </w:r>
            <w:r w:rsidRPr="009138AB">
              <w:rPr>
                <w:rFonts w:cs="Arial"/>
              </w:rPr>
              <w:t xml:space="preserve"> </w:t>
            </w:r>
          </w:p>
          <w:p w:rsidR="006E5321" w:rsidRPr="009138AB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>Translate</w:t>
            </w:r>
            <w:r w:rsidRPr="009138AB">
              <w:rPr>
                <w:rFonts w:cs="Arial"/>
                <w:lang w:val="en-US"/>
              </w:rPr>
              <w:t xml:space="preserve"> the vision for the Academy into agreed objectiv</w:t>
            </w:r>
            <w:r>
              <w:rPr>
                <w:rFonts w:cs="Arial"/>
                <w:lang w:val="en-US"/>
              </w:rPr>
              <w:t xml:space="preserve">es, </w:t>
            </w:r>
            <w:r w:rsidRPr="009138AB">
              <w:rPr>
                <w:rFonts w:cs="Arial"/>
                <w:lang w:val="en-US"/>
              </w:rPr>
              <w:t>operational</w:t>
            </w:r>
            <w:r>
              <w:rPr>
                <w:rFonts w:cs="Arial"/>
                <w:lang w:val="en-US"/>
              </w:rPr>
              <w:t xml:space="preserve"> and development </w:t>
            </w:r>
            <w:r w:rsidRPr="009138AB">
              <w:rPr>
                <w:rFonts w:cs="Arial"/>
                <w:lang w:val="en-US"/>
              </w:rPr>
              <w:t xml:space="preserve">plans </w:t>
            </w:r>
            <w:r w:rsidRPr="009138AB">
              <w:rPr>
                <w:rFonts w:cs="Arial"/>
              </w:rPr>
              <w:t>and take lead responsibility for designated areas (to be determined).</w:t>
            </w:r>
          </w:p>
          <w:p w:rsidR="006E5321" w:rsidRPr="009138AB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 w:rsidRPr="009138AB">
              <w:rPr>
                <w:rFonts w:cs="Arial"/>
              </w:rPr>
              <w:t>Keep plans under review and make recommendations for change to ensure that they continue to meet the Academy’s developing needs.</w:t>
            </w:r>
          </w:p>
          <w:p w:rsidR="006E5321" w:rsidRPr="004B47BC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Support</w:t>
            </w:r>
            <w:r w:rsidRPr="004C1142">
              <w:rPr>
                <w:rFonts w:cs="Arial"/>
              </w:rPr>
              <w:t xml:space="preserve"> the effective operation of Academy self-evaluation systems as appropriate, and produce reports within the self-evaluation cycle as required.</w:t>
            </w:r>
          </w:p>
          <w:p w:rsidR="006E5321" w:rsidRPr="004B47BC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Ensure the reputation of the Academy is enhanced through active marketing and public relations utilising the full range of available media.</w:t>
            </w:r>
          </w:p>
          <w:p w:rsidR="006E5321" w:rsidRPr="004C1142" w:rsidRDefault="006E5321" w:rsidP="0019535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Create</w:t>
            </w:r>
            <w:r w:rsidRPr="004C1142">
              <w:rPr>
                <w:rFonts w:cs="Arial"/>
              </w:rPr>
              <w:t xml:space="preserve"> strong links and collaborative ways of working with all stakeholders including the wider community and neighbouring schools and colleges, and ensuring the Academy is at the heart of the community;</w:t>
            </w:r>
          </w:p>
          <w:p w:rsidR="006E5321" w:rsidRPr="004C1142" w:rsidRDefault="006E5321" w:rsidP="006E5321">
            <w:pPr>
              <w:tabs>
                <w:tab w:val="left" w:pos="806"/>
              </w:tabs>
              <w:ind w:left="720"/>
              <w:rPr>
                <w:rFonts w:cs="Arial"/>
                <w:b/>
              </w:rPr>
            </w:pPr>
          </w:p>
          <w:p w:rsidR="006E5321" w:rsidRPr="004C1142" w:rsidRDefault="006E5321" w:rsidP="006E5321">
            <w:pPr>
              <w:numPr>
                <w:ilvl w:val="0"/>
                <w:numId w:val="10"/>
              </w:numPr>
              <w:tabs>
                <w:tab w:val="left" w:pos="806"/>
              </w:tabs>
              <w:spacing w:after="0" w:line="240" w:lineRule="auto"/>
              <w:rPr>
                <w:rFonts w:cs="Arial"/>
                <w:lang w:val="en-US"/>
              </w:rPr>
            </w:pPr>
            <w:r w:rsidRPr="004C1142">
              <w:rPr>
                <w:rFonts w:cs="Arial"/>
                <w:b/>
              </w:rPr>
              <w:t xml:space="preserve">Leadership and Management 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Lead by example, providing inspiration and motivation, and embody for the students, staff, governors, parents and wider community the vision, purpose and leadership of the Academy.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Take responsibility for the day-to-day line management of designated staff (to be determined).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t>Recruit, deploy, motivate</w:t>
            </w:r>
            <w:r w:rsidRPr="004C114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develop and appraise </w:t>
            </w:r>
            <w:r w:rsidRPr="004C1142">
              <w:rPr>
                <w:rFonts w:cs="Arial"/>
              </w:rPr>
              <w:t>staff to make the most effective use of their skills, expertise and experie</w:t>
            </w:r>
            <w:r>
              <w:rPr>
                <w:rFonts w:cs="Arial"/>
              </w:rPr>
              <w:t>nce and to ensure that all</w:t>
            </w:r>
            <w:r w:rsidRPr="004C1142">
              <w:rPr>
                <w:rFonts w:cs="Arial"/>
              </w:rPr>
              <w:t xml:space="preserve"> have a clear understanding of their roles and responsibilities.</w:t>
            </w:r>
          </w:p>
          <w:p w:rsidR="006E5321" w:rsidRPr="00C51C91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Take responsibility for managing the Academy effectively in the absence of the Principal.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 xml:space="preserve">Identify and take appropriate action on issues arising from </w:t>
            </w:r>
            <w:r>
              <w:rPr>
                <w:rFonts w:cs="Arial"/>
              </w:rPr>
              <w:t>self-</w:t>
            </w:r>
            <w:r w:rsidRPr="004C1142">
              <w:rPr>
                <w:rFonts w:cs="Arial"/>
              </w:rPr>
              <w:t>evaluation, setting deadlines where necessary and reviewing progress on the action taken.</w:t>
            </w:r>
          </w:p>
          <w:p w:rsidR="006E5321" w:rsidRPr="00C613C3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lastRenderedPageBreak/>
              <w:t>Ensure the maintenance of accurate and up-to-date management information concerning specific areas of responsibility in order to inform the review and evaluation process.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Establish</w:t>
            </w:r>
            <w:r w:rsidRPr="004C1142">
              <w:rPr>
                <w:rFonts w:cs="Arial"/>
              </w:rPr>
              <w:t xml:space="preserve"> prioritie</w:t>
            </w:r>
            <w:r>
              <w:rPr>
                <w:rFonts w:cs="Arial"/>
              </w:rPr>
              <w:t>s for expenditure and monitor</w:t>
            </w:r>
            <w:r w:rsidRPr="004C1142">
              <w:rPr>
                <w:rFonts w:cs="Arial"/>
              </w:rPr>
              <w:t xml:space="preserve"> the effectiveness of spending and use of resources with a view to achieving value for money.</w:t>
            </w:r>
          </w:p>
          <w:p w:rsidR="006E5321" w:rsidRPr="00044B76" w:rsidRDefault="006E5321" w:rsidP="00195350">
            <w:pPr>
              <w:numPr>
                <w:ilvl w:val="1"/>
                <w:numId w:val="10"/>
              </w:numPr>
              <w:spacing w:before="100" w:beforeAutospacing="1" w:after="0" w:line="240" w:lineRule="auto"/>
              <w:jc w:val="both"/>
              <w:rPr>
                <w:rFonts w:cs="Arial"/>
              </w:rPr>
            </w:pPr>
            <w:r w:rsidRPr="00044B76">
              <w:rPr>
                <w:rFonts w:cs="Arial"/>
                <w:color w:val="000000"/>
              </w:rPr>
              <w:t>Manage and organise accommodation efficiently and effectively to ensure that it meets the needs of the curriculum.</w:t>
            </w:r>
          </w:p>
          <w:p w:rsidR="00195350" w:rsidRDefault="006E5321" w:rsidP="00195350">
            <w:pPr>
              <w:numPr>
                <w:ilvl w:val="1"/>
                <w:numId w:val="10"/>
              </w:numPr>
              <w:spacing w:before="100" w:beforeAutospacing="1" w:after="240" w:line="240" w:lineRule="auto"/>
              <w:jc w:val="both"/>
              <w:rPr>
                <w:rFonts w:cs="Arial"/>
              </w:rPr>
            </w:pPr>
            <w:r w:rsidRPr="00044B76">
              <w:rPr>
                <w:rFonts w:cs="Arial"/>
              </w:rPr>
              <w:t>Ensure the wellbeing of all staff</w:t>
            </w:r>
            <w:r>
              <w:rPr>
                <w:rFonts w:cs="Arial"/>
              </w:rPr>
              <w:t>.</w:t>
            </w:r>
          </w:p>
          <w:p w:rsidR="00195350" w:rsidRPr="00195350" w:rsidRDefault="00195350" w:rsidP="00195350">
            <w:pPr>
              <w:spacing w:before="100" w:beforeAutospacing="1" w:after="240" w:line="240" w:lineRule="auto"/>
              <w:jc w:val="both"/>
              <w:rPr>
                <w:rFonts w:cs="Arial"/>
              </w:rPr>
            </w:pPr>
          </w:p>
          <w:p w:rsidR="006E5321" w:rsidRPr="004C1142" w:rsidRDefault="006E5321" w:rsidP="006E5321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Curriculum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C1142">
              <w:rPr>
                <w:rFonts w:cs="Arial"/>
              </w:rPr>
              <w:t>dentify and secure the implementation of appropriate strategies to:</w:t>
            </w:r>
          </w:p>
          <w:p w:rsidR="006E5321" w:rsidRPr="004C1142" w:rsidRDefault="006E5321" w:rsidP="00195350">
            <w:pPr>
              <w:numPr>
                <w:ilvl w:val="2"/>
                <w:numId w:val="10"/>
              </w:numPr>
              <w:spacing w:after="0" w:line="240" w:lineRule="auto"/>
              <w:jc w:val="both"/>
            </w:pPr>
            <w:r w:rsidRPr="004C1142">
              <w:t>ensure that</w:t>
            </w:r>
            <w:r w:rsidR="00195350">
              <w:t xml:space="preserve"> a high-quality</w:t>
            </w:r>
            <w:r w:rsidRPr="004C1142">
              <w:t xml:space="preserve"> educational experience is available </w:t>
            </w:r>
            <w:r w:rsidRPr="00C51C91">
              <w:t>for all</w:t>
            </w:r>
            <w:r w:rsidRPr="004C1142">
              <w:rPr>
                <w:b/>
              </w:rPr>
              <w:t xml:space="preserve"> </w:t>
            </w:r>
            <w:r w:rsidRPr="004C1142">
              <w:t>students who attend the Academy;</w:t>
            </w:r>
          </w:p>
          <w:p w:rsidR="006E5321" w:rsidRPr="004C1142" w:rsidRDefault="006E5321" w:rsidP="00195350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develop a culture and environment in which young people thrive;</w:t>
            </w:r>
          </w:p>
          <w:p w:rsidR="006E5321" w:rsidRPr="004C1142" w:rsidRDefault="006E5321" w:rsidP="00195350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drive up educational standards, promote lifelong learning and continually improve outcomes for all;</w:t>
            </w:r>
          </w:p>
          <w:p w:rsidR="006E5321" w:rsidRPr="004C1142" w:rsidRDefault="006E5321" w:rsidP="00195350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ensure that a modern, 21</w:t>
            </w:r>
            <w:r w:rsidRPr="004C1142">
              <w:rPr>
                <w:rFonts w:cs="Arial"/>
                <w:vertAlign w:val="superscript"/>
              </w:rPr>
              <w:t>st</w:t>
            </w:r>
            <w:r w:rsidRPr="004C1142">
              <w:rPr>
                <w:rFonts w:cs="Arial"/>
              </w:rPr>
              <w:t xml:space="preserve"> century curriculum is developed and delivered through effective learning and assessment practice;</w:t>
            </w:r>
          </w:p>
          <w:p w:rsidR="006E5321" w:rsidRPr="00C51C91" w:rsidRDefault="006E5321" w:rsidP="00195350">
            <w:pPr>
              <w:numPr>
                <w:ilvl w:val="2"/>
                <w:numId w:val="10"/>
              </w:numPr>
              <w:spacing w:after="0" w:line="240" w:lineRule="auto"/>
              <w:jc w:val="both"/>
            </w:pPr>
            <w:r w:rsidRPr="00C51C91">
              <w:t>nurture and develop every students’ potential and ensure this philosophy underpins the Academy’s approach to learning.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1142">
              <w:rPr>
                <w:rFonts w:cs="Arial"/>
              </w:rPr>
              <w:t>rive innovation in education ensuring the Academy is able to respond to a changing external environment and that the skills, learning and aspirations of all students are developing and enhanced at all key stages.</w:t>
            </w:r>
          </w:p>
          <w:p w:rsidR="006E5321" w:rsidRPr="00044B76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>
              <w:t>P</w:t>
            </w:r>
            <w:r w:rsidRPr="004C1142">
              <w:t>lan</w:t>
            </w:r>
            <w:r>
              <w:t xml:space="preserve"> and manage </w:t>
            </w:r>
            <w:r w:rsidRPr="004C1142">
              <w:t>the effective delivery of the curriculum</w:t>
            </w:r>
            <w:r>
              <w:t>,</w:t>
            </w:r>
            <w:r w:rsidRPr="004C1142">
              <w:t xml:space="preserve"> and management of curriculum change</w:t>
            </w:r>
            <w:r>
              <w:t>,</w:t>
            </w:r>
            <w:r w:rsidRPr="004C1142">
              <w:t xml:space="preserve"> to maximise students’ learning opportunities and ensure that all students benefit from high quality, well-planned and imaginatively delivered teaching across the curriculum</w:t>
            </w:r>
            <w:r w:rsidRPr="004C1142">
              <w:rPr>
                <w:rFonts w:cs="Arial"/>
              </w:rPr>
              <w:t>.</w:t>
            </w:r>
          </w:p>
          <w:p w:rsidR="006E5321" w:rsidRPr="00044B76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</w:pPr>
            <w:r>
              <w:rPr>
                <w:rFonts w:cs="Arial"/>
              </w:rPr>
              <w:t>Ensure</w:t>
            </w:r>
            <w:r w:rsidRPr="004C1142">
              <w:rPr>
                <w:rFonts w:cs="Arial"/>
              </w:rPr>
              <w:t xml:space="preserve"> that Academy policies and procedures are regularly communicated to staff and students so that they are clear about their responsibilities.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</w:t>
            </w:r>
            <w:r w:rsidRPr="004C1142">
              <w:rPr>
                <w:rFonts w:cs="Arial"/>
              </w:rPr>
              <w:t>that parents and carers are kept well informed about the Academy curriculum, its targets, student attainment and their part in the process of improvement;</w:t>
            </w:r>
          </w:p>
          <w:p w:rsidR="006E5321" w:rsidRPr="009138AB" w:rsidRDefault="006E5321" w:rsidP="006E5321">
            <w:pPr>
              <w:ind w:left="720"/>
              <w:rPr>
                <w:rFonts w:cs="Arial"/>
              </w:rPr>
            </w:pPr>
          </w:p>
          <w:p w:rsidR="006E5321" w:rsidRPr="009138AB" w:rsidRDefault="006E5321" w:rsidP="006E53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</w:rPr>
            </w:pPr>
            <w:r w:rsidRPr="009138AB">
              <w:rPr>
                <w:rFonts w:cs="Arial"/>
                <w:b/>
              </w:rPr>
              <w:t>Teaching and Learning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Provide a professional model for others, clearly demonstrating effective teaching and classroom organisation and establishing high standards of achievement, behaviour and discipline.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Undertake an appropriate programme of teaching in accordance with the duties of a s</w:t>
            </w:r>
            <w:r>
              <w:rPr>
                <w:rFonts w:cs="Arial"/>
              </w:rPr>
              <w:t>tandard scale teacher</w:t>
            </w:r>
            <w:r w:rsidRPr="004C1142">
              <w:rPr>
                <w:rFonts w:cs="Arial"/>
              </w:rPr>
              <w:t>.</w:t>
            </w:r>
          </w:p>
          <w:p w:rsidR="006E5321" w:rsidRPr="009138AB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="Arial"/>
              </w:rPr>
            </w:pPr>
            <w:r w:rsidRPr="004C1142">
              <w:rPr>
                <w:rFonts w:cs="Arial"/>
              </w:rPr>
              <w:t>Take responsibility for the development and monitoring of a curriculum area(s) or whole school curriculum aspect(s) as agreed from time to time.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>
              <w:t>D</w:t>
            </w:r>
            <w:r w:rsidRPr="004C1142">
              <w:t>evelop</w:t>
            </w:r>
            <w:r>
              <w:t xml:space="preserve"> </w:t>
            </w:r>
            <w:r w:rsidRPr="004C1142">
              <w:t>and implement</w:t>
            </w:r>
            <w:r>
              <w:t xml:space="preserve"> </w:t>
            </w:r>
            <w:r w:rsidRPr="004C1142">
              <w:t xml:space="preserve">arrangements to ensure </w:t>
            </w:r>
            <w:r>
              <w:rPr>
                <w:rFonts w:cs="Arial"/>
              </w:rPr>
              <w:t>that individual student</w:t>
            </w:r>
            <w:r w:rsidRPr="004C1142">
              <w:rPr>
                <w:rFonts w:cs="Arial"/>
              </w:rPr>
              <w:t xml:space="preserve"> progress is regularly assessed, recorded, reported, to ensure that</w:t>
            </w:r>
            <w:r>
              <w:t xml:space="preserve"> pupils achieve at the highest possible</w:t>
            </w:r>
            <w:r w:rsidRPr="004C1142">
              <w:t xml:space="preserve"> level at each key stage and that the data is</w:t>
            </w:r>
            <w:r w:rsidRPr="004C1142">
              <w:rPr>
                <w:rFonts w:cs="Arial"/>
              </w:rPr>
              <w:t xml:space="preserve"> used to inform future teaching.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>
              <w:t>De</w:t>
            </w:r>
            <w:r w:rsidRPr="004C1142">
              <w:t>velop</w:t>
            </w:r>
            <w:r>
              <w:t xml:space="preserve"> </w:t>
            </w:r>
            <w:r w:rsidRPr="004C1142">
              <w:t>and implement</w:t>
            </w:r>
            <w:r>
              <w:t xml:space="preserve"> </w:t>
            </w:r>
            <w:r w:rsidRPr="004C1142">
              <w:rPr>
                <w:rFonts w:cs="Arial"/>
              </w:rPr>
              <w:t xml:space="preserve">a system for the regular review of curriculum areas and for the monitoring of schemes of work, classroom observations </w:t>
            </w:r>
            <w:r w:rsidRPr="004C1142">
              <w:rPr>
                <w:rFonts w:cs="Arial"/>
              </w:rPr>
              <w:lastRenderedPageBreak/>
              <w:t>and analysis of data to ensure that high standards of teaching and learning are maintained.</w:t>
            </w:r>
          </w:p>
          <w:p w:rsidR="006E5321" w:rsidRPr="00B50E68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C1142">
              <w:rPr>
                <w:rFonts w:cs="Arial"/>
              </w:rPr>
              <w:t>mpleme</w:t>
            </w:r>
            <w:r>
              <w:rPr>
                <w:rFonts w:cs="Arial"/>
              </w:rPr>
              <w:t>nt the Academy’s Continued Professional D</w:t>
            </w:r>
            <w:r w:rsidRPr="004C1142">
              <w:rPr>
                <w:rFonts w:cs="Arial"/>
              </w:rPr>
              <w:t>evelopment policy to ensure that all staff are properly equipped to undertake their roles</w:t>
            </w:r>
            <w:r w:rsidRPr="004C1142">
              <w:t xml:space="preserve"> and are able to contribute to the well-being and development of the Academy</w:t>
            </w:r>
            <w:r w:rsidRPr="004C1142">
              <w:rPr>
                <w:rFonts w:cs="Arial"/>
              </w:rPr>
              <w:t>.</w:t>
            </w:r>
          </w:p>
          <w:p w:rsidR="006E5321" w:rsidRPr="00B50E68" w:rsidRDefault="006E5321" w:rsidP="00195350">
            <w:pPr>
              <w:numPr>
                <w:ilvl w:val="1"/>
                <w:numId w:val="10"/>
              </w:numPr>
              <w:tabs>
                <w:tab w:val="left" w:pos="80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Support </w:t>
            </w:r>
            <w:r w:rsidRPr="00F2567A">
              <w:rPr>
                <w:rFonts w:cs="Arial"/>
              </w:rPr>
              <w:t>and participate in the Academy's NQT/GTP/new staff induction programmes to ensure that all new staff feel welcomed and appropriately briefed to undertake their responsibilities.</w:t>
            </w:r>
          </w:p>
          <w:p w:rsidR="006E5321" w:rsidRPr="004C1142" w:rsidRDefault="006E5321" w:rsidP="006E5321">
            <w:pPr>
              <w:rPr>
                <w:rFonts w:cs="Arial"/>
              </w:rPr>
            </w:pPr>
          </w:p>
          <w:p w:rsidR="006E5321" w:rsidRPr="004C1142" w:rsidRDefault="006E5321" w:rsidP="006E5321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Safeguarding, student behaviour, attitudes to learning and personal development </w:t>
            </w:r>
          </w:p>
          <w:p w:rsidR="006E5321" w:rsidRPr="004C1142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lang w:val="en-US"/>
              </w:rPr>
            </w:pPr>
            <w:r w:rsidRPr="004C1142">
              <w:rPr>
                <w:lang w:val="en-US"/>
              </w:rPr>
              <w:t>Contribute to an ethos in the Academy where each pupil is valued and encouraged to develop both educationally and personally.</w:t>
            </w:r>
          </w:p>
          <w:p w:rsidR="006E5321" w:rsidRPr="003800F0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Ensure</w:t>
            </w:r>
            <w:r w:rsidRPr="004C1142">
              <w:rPr>
                <w:lang w:val="en-US"/>
              </w:rPr>
              <w:t xml:space="preserve"> that appropriate and effective systems for pastoral support </w:t>
            </w:r>
            <w:r>
              <w:rPr>
                <w:lang w:val="en-US"/>
              </w:rPr>
              <w:t xml:space="preserve">and safeguarding </w:t>
            </w:r>
            <w:r w:rsidRPr="004C1142">
              <w:rPr>
                <w:lang w:val="en-US"/>
              </w:rPr>
              <w:t>are in place.</w:t>
            </w:r>
          </w:p>
          <w:p w:rsidR="006E5321" w:rsidRPr="003800F0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Ensure</w:t>
            </w:r>
            <w:r w:rsidRPr="004C1142">
              <w:rPr>
                <w:lang w:val="en-US"/>
              </w:rPr>
              <w:t xml:space="preserve"> that appro</w:t>
            </w:r>
            <w:r>
              <w:rPr>
                <w:lang w:val="en-US"/>
              </w:rPr>
              <w:t xml:space="preserve">priate and effective systems ensuring excellent attitudes to learning </w:t>
            </w:r>
            <w:r w:rsidRPr="004C1142">
              <w:rPr>
                <w:lang w:val="en-US"/>
              </w:rPr>
              <w:t>are in place.</w:t>
            </w:r>
          </w:p>
          <w:p w:rsidR="006E5321" w:rsidRPr="00E33FFE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Promote </w:t>
            </w:r>
            <w:r w:rsidRPr="004C1142">
              <w:rPr>
                <w:lang w:val="en-US"/>
              </w:rPr>
              <w:t>high standards amongst</w:t>
            </w:r>
            <w:r>
              <w:rPr>
                <w:lang w:val="en-US"/>
              </w:rPr>
              <w:t xml:space="preserve"> students in attendance, behaviour</w:t>
            </w:r>
            <w:r w:rsidRPr="004C1142">
              <w:rPr>
                <w:lang w:val="en-US"/>
              </w:rPr>
              <w:t xml:space="preserve">, punctuality, and appearance, </w:t>
            </w:r>
            <w:r w:rsidRPr="004C1142">
              <w:rPr>
                <w:rFonts w:cs="Arial"/>
              </w:rPr>
              <w:t>and support colleagues in developing strategies for improving areas that are hindering students’ achievement.</w:t>
            </w:r>
          </w:p>
          <w:p w:rsidR="006E5321" w:rsidRPr="00C613C3" w:rsidRDefault="006E5321" w:rsidP="00195350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cs="Arial"/>
              </w:rPr>
              <w:t xml:space="preserve">Ensure all students experience rich opportunities for personal development. </w:t>
            </w:r>
          </w:p>
          <w:p w:rsidR="006E5321" w:rsidRPr="009A5D82" w:rsidRDefault="006E5321" w:rsidP="006E5321"/>
        </w:tc>
      </w:tr>
      <w:tr w:rsidR="006E5321" w:rsidTr="007D2169">
        <w:trPr>
          <w:trHeight w:val="208"/>
        </w:trPr>
        <w:tc>
          <w:tcPr>
            <w:tcW w:w="2022" w:type="dxa"/>
            <w:vAlign w:val="center"/>
          </w:tcPr>
          <w:p w:rsidR="006E5321" w:rsidRDefault="00195350" w:rsidP="006E532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Specific Responsibilities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411" w:type="dxa"/>
          </w:tcPr>
          <w:p w:rsidR="006E5321" w:rsidRDefault="006E5321" w:rsidP="006E5321">
            <w:pPr>
              <w:ind w:left="720"/>
            </w:pPr>
          </w:p>
          <w:p w:rsidR="006E5321" w:rsidRPr="004C1142" w:rsidRDefault="006E5321" w:rsidP="00195350">
            <w:pPr>
              <w:ind w:left="720"/>
            </w:pPr>
            <w:r>
              <w:t>As agreed and published in the current Senior Leadership Team organisational structure diagram (Subject to regular review and rotation).</w:t>
            </w:r>
          </w:p>
        </w:tc>
      </w:tr>
      <w:tr w:rsidR="00195350" w:rsidTr="007D2169">
        <w:trPr>
          <w:trHeight w:val="354"/>
        </w:trPr>
        <w:tc>
          <w:tcPr>
            <w:tcW w:w="2022" w:type="dxa"/>
            <w:vAlign w:val="center"/>
          </w:tcPr>
          <w:p w:rsidR="00195350" w:rsidRDefault="00195350" w:rsidP="00195350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 requirements</w:t>
            </w:r>
          </w:p>
        </w:tc>
        <w:tc>
          <w:tcPr>
            <w:tcW w:w="7411" w:type="dxa"/>
          </w:tcPr>
          <w:p w:rsidR="00195350" w:rsidRPr="004C1142" w:rsidRDefault="00195350" w:rsidP="00195350"/>
          <w:p w:rsidR="00195350" w:rsidRDefault="00195350" w:rsidP="00195350">
            <w:r w:rsidRPr="004C1142">
              <w:t>All Academy staff are expected to:</w:t>
            </w:r>
          </w:p>
          <w:p w:rsidR="00195350" w:rsidRPr="004C1142" w:rsidRDefault="00195350" w:rsidP="00195350">
            <w:pPr>
              <w:jc w:val="both"/>
            </w:pPr>
            <w:r w:rsidRPr="004C1142">
              <w:t>Work towards and support the Academy vision and the current objectives outlined in the Academy Development Plan.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t>Support and contribute to the Academy’s responsibility for safeguarding students.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t>Be an integral member of the pastoral system as a Form Tutor or related role</w:t>
            </w:r>
            <w:r>
              <w:t xml:space="preserve"> as appropriate</w:t>
            </w:r>
            <w:r w:rsidRPr="004C1142">
              <w:t xml:space="preserve">. 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t>Work within the Academy’s health and safety policy to ensure a safe working environment for staff, students and visitors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t>Work within the Academy’s Diversity Policy to promote equality of opportunity for all students and staff, both current and prospective.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t>Maintain high professional standards of attendance, punctuality, appearance, conduct and positive, courteous relations with students, parents and colleagues.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t>Engage actively in the performance management process.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lastRenderedPageBreak/>
              <w:t>Adher</w:t>
            </w:r>
            <w:r>
              <w:t xml:space="preserve">e to policies adopted by the Local Governing Body </w:t>
            </w:r>
            <w:r w:rsidRPr="004C1142">
              <w:t xml:space="preserve">and other </w:t>
            </w:r>
            <w:r>
              <w:t>policies and practices outlined in the documentation provided</w:t>
            </w:r>
            <w:r w:rsidRPr="004C1142">
              <w:t xml:space="preserve"> to all staff.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rPr>
                <w:rFonts w:cs="Arial"/>
              </w:rPr>
              <w:t>Undertake other reasonable duties related to the job purpose required from time to time.</w:t>
            </w:r>
          </w:p>
          <w:p w:rsidR="00195350" w:rsidRPr="004B47BC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 w:rsidRPr="004C1142">
              <w:rPr>
                <w:rFonts w:eastAsia="Calibri" w:cs="Arial"/>
              </w:rPr>
              <w:t xml:space="preserve">As and when necessary and reasonable, contribute equitably to the Academy’s provision for the supervision of </w:t>
            </w:r>
            <w:r w:rsidRPr="004C1142">
              <w:rPr>
                <w:rFonts w:eastAsia="Calibri" w:cs="Arial"/>
              </w:rPr>
              <w:t>colleagues’</w:t>
            </w:r>
            <w:r w:rsidRPr="004C1142">
              <w:rPr>
                <w:rFonts w:eastAsia="Calibri" w:cs="Arial"/>
              </w:rPr>
              <w:t xml:space="preserve"> classes, duties and activities in the event of unforeseen absence</w:t>
            </w:r>
          </w:p>
          <w:p w:rsidR="00195350" w:rsidRPr="004C1142" w:rsidRDefault="00195350" w:rsidP="00195350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</w:pPr>
            <w:r>
              <w:rPr>
                <w:rFonts w:eastAsia="Calibri" w:cs="Arial"/>
              </w:rPr>
              <w:t>Be a regular contributor to wider OAT networks and in initiatives.</w:t>
            </w:r>
          </w:p>
          <w:p w:rsidR="00195350" w:rsidRPr="004C1142" w:rsidRDefault="00195350" w:rsidP="00195350"/>
        </w:tc>
      </w:tr>
      <w:tr w:rsidR="00195350" w:rsidTr="007D2169">
        <w:trPr>
          <w:trHeight w:val="354"/>
        </w:trPr>
        <w:tc>
          <w:tcPr>
            <w:tcW w:w="2022" w:type="dxa"/>
            <w:vAlign w:val="center"/>
          </w:tcPr>
          <w:p w:rsidR="00195350" w:rsidRDefault="00195350" w:rsidP="00195350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Review and Amendment</w:t>
            </w:r>
          </w:p>
        </w:tc>
        <w:tc>
          <w:tcPr>
            <w:tcW w:w="7411" w:type="dxa"/>
          </w:tcPr>
          <w:p w:rsidR="00195350" w:rsidRDefault="00195350" w:rsidP="00195350">
            <w:pPr>
              <w:tabs>
                <w:tab w:val="left" w:pos="459"/>
              </w:tabs>
            </w:pPr>
          </w:p>
          <w:p w:rsidR="00195350" w:rsidRDefault="00195350" w:rsidP="00195350">
            <w:pPr>
              <w:tabs>
                <w:tab w:val="left" w:pos="459"/>
              </w:tabs>
              <w:jc w:val="both"/>
            </w:pPr>
            <w:r w:rsidRPr="004C1142">
              <w:t>This job description should be seen as enabling rather than restrictive and will be subject to regular review.</w:t>
            </w:r>
            <w:r>
              <w:t xml:space="preserve"> As such:</w:t>
            </w:r>
            <w:r w:rsidRPr="004C1142">
              <w:t xml:space="preserve"> </w:t>
            </w:r>
          </w:p>
          <w:p w:rsidR="00195350" w:rsidRDefault="00195350" w:rsidP="001953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00F0">
              <w:rPr>
                <w:rFonts w:cstheme="minorHAnsi"/>
              </w:rPr>
              <w:t>Employees will be expected to comply with any reasonable request from a manager to undertake work of a similar level that is not specified in this job description.</w:t>
            </w:r>
          </w:p>
          <w:p w:rsidR="00195350" w:rsidRPr="003800F0" w:rsidRDefault="00195350" w:rsidP="001953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00F0">
              <w:rPr>
                <w:rFonts w:cstheme="minorHAnsi"/>
              </w:rPr>
              <w:t>This Job description may be changed to reflect or anticipate changes in the job which are commensurate with the salary and job title.</w:t>
            </w:r>
          </w:p>
          <w:p w:rsidR="00195350" w:rsidRDefault="00195350" w:rsidP="00195350">
            <w:pPr>
              <w:spacing w:after="176" w:line="240" w:lineRule="auto"/>
              <w:jc w:val="both"/>
              <w:rPr>
                <w:rFonts w:cs="Arial"/>
              </w:rPr>
            </w:pPr>
          </w:p>
        </w:tc>
      </w:tr>
    </w:tbl>
    <w:bookmarkEnd w:id="0"/>
    <w:p w:rsidR="00E3691B" w:rsidRDefault="0015104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A06FDB4" wp14:editId="693FAAC5">
            <wp:simplePos x="0" y="0"/>
            <wp:positionH relativeFrom="margin">
              <wp:posOffset>3043555</wp:posOffset>
            </wp:positionH>
            <wp:positionV relativeFrom="bottomMargin">
              <wp:posOffset>-70485</wp:posOffset>
            </wp:positionV>
            <wp:extent cx="920115" cy="60325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4" t="19174" r="61728" b="27334"/>
                    <a:stretch/>
                  </pic:blipFill>
                  <pic:spPr bwMode="auto">
                    <a:xfrm>
                      <a:off x="0" y="0"/>
                      <a:ext cx="92011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52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52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70E2B"/>
    <w:multiLevelType w:val="hybridMultilevel"/>
    <w:tmpl w:val="716C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7C5"/>
    <w:multiLevelType w:val="hybridMultilevel"/>
    <w:tmpl w:val="6CDEF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D4238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E780EB6"/>
    <w:multiLevelType w:val="multilevel"/>
    <w:tmpl w:val="9F28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0B5422"/>
    <w:multiLevelType w:val="hybridMultilevel"/>
    <w:tmpl w:val="B8C2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41EBD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69"/>
    <w:rsid w:val="00001E79"/>
    <w:rsid w:val="00147527"/>
    <w:rsid w:val="0015104C"/>
    <w:rsid w:val="00195350"/>
    <w:rsid w:val="00361723"/>
    <w:rsid w:val="003742A9"/>
    <w:rsid w:val="00412B39"/>
    <w:rsid w:val="004B6968"/>
    <w:rsid w:val="00515041"/>
    <w:rsid w:val="00682510"/>
    <w:rsid w:val="006E5321"/>
    <w:rsid w:val="007271EC"/>
    <w:rsid w:val="007670EE"/>
    <w:rsid w:val="007D2169"/>
    <w:rsid w:val="00901326"/>
    <w:rsid w:val="00950947"/>
    <w:rsid w:val="0097798E"/>
    <w:rsid w:val="009C7168"/>
    <w:rsid w:val="00A55694"/>
    <w:rsid w:val="00A77F12"/>
    <w:rsid w:val="00DE481C"/>
    <w:rsid w:val="00F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51C3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Plain%20page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OPA Plain page template Portrait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Sarah-Jane Tredinnick</cp:lastModifiedBy>
  <cp:revision>2</cp:revision>
  <dcterms:created xsi:type="dcterms:W3CDTF">2019-03-06T10:52:00Z</dcterms:created>
  <dcterms:modified xsi:type="dcterms:W3CDTF">2019-03-06T10:52:00Z</dcterms:modified>
</cp:coreProperties>
</file>