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F5" w:rsidRPr="0089325E" w:rsidRDefault="0089325E" w:rsidP="00406CF5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Internal </w:t>
      </w:r>
      <w:r w:rsidR="004F1277">
        <w:rPr>
          <w:rFonts w:asciiTheme="minorHAnsi" w:hAnsiTheme="minorHAnsi"/>
          <w:b/>
          <w:u w:val="single"/>
        </w:rPr>
        <w:t>Ex</w:t>
      </w:r>
      <w:r>
        <w:rPr>
          <w:rFonts w:asciiTheme="minorHAnsi" w:hAnsiTheme="minorHAnsi"/>
          <w:b/>
          <w:u w:val="single"/>
        </w:rPr>
        <w:t>clusion Supervisor – Job Description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7D27A0" w:rsidRPr="0089325E" w:rsidRDefault="007D27A0" w:rsidP="00406CF5">
      <w:pPr>
        <w:rPr>
          <w:rFonts w:asciiTheme="minorHAnsi" w:hAnsiTheme="minorHAnsi"/>
        </w:rPr>
      </w:pPr>
    </w:p>
    <w:p w:rsidR="00126281" w:rsidRDefault="0089325E" w:rsidP="009B0270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  <w:b/>
        </w:rPr>
        <w:t>Band</w:t>
      </w:r>
      <w:r w:rsidR="007D27A0" w:rsidRPr="0089325E">
        <w:rPr>
          <w:rFonts w:asciiTheme="minorHAnsi" w:hAnsiTheme="minorHAnsi"/>
          <w:b/>
        </w:rPr>
        <w:t>:</w:t>
      </w:r>
      <w:r w:rsidR="00CF4A20">
        <w:rPr>
          <w:rFonts w:asciiTheme="minorHAnsi" w:hAnsiTheme="minorHAnsi"/>
          <w:b/>
        </w:rPr>
        <w:tab/>
      </w:r>
      <w:r w:rsidR="0042588B">
        <w:rPr>
          <w:rFonts w:asciiTheme="minorHAnsi" w:hAnsiTheme="minorHAnsi"/>
        </w:rPr>
        <w:t>Scale 4-5</w:t>
      </w:r>
      <w:r w:rsidR="009B0270">
        <w:rPr>
          <w:rFonts w:asciiTheme="minorHAnsi" w:hAnsiTheme="minorHAnsi"/>
        </w:rPr>
        <w:t xml:space="preserve"> </w:t>
      </w:r>
      <w:r w:rsidR="00126281" w:rsidRPr="00126281">
        <w:rPr>
          <w:rFonts w:asciiTheme="minorHAnsi" w:hAnsiTheme="minorHAnsi"/>
        </w:rPr>
        <w:tab/>
      </w:r>
      <w:r w:rsidR="0042588B">
        <w:rPr>
          <w:rFonts w:asciiTheme="minorHAnsi" w:hAnsiTheme="minorHAnsi"/>
        </w:rPr>
        <w:t>£19171- 21166 pro rata</w:t>
      </w:r>
    </w:p>
    <w:p w:rsidR="0042588B" w:rsidRPr="0042588B" w:rsidRDefault="0042588B" w:rsidP="009B0270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42588B">
        <w:rPr>
          <w:rFonts w:asciiTheme="minorHAnsi" w:hAnsiTheme="minorHAnsi"/>
        </w:rPr>
        <w:t>£6603 – 7290 (actual)</w:t>
      </w:r>
    </w:p>
    <w:p w:rsidR="0089325E" w:rsidRDefault="0089325E" w:rsidP="007D27A0">
      <w:pPr>
        <w:ind w:left="2880" w:hanging="2880"/>
        <w:rPr>
          <w:rFonts w:asciiTheme="minorHAnsi" w:hAnsiTheme="minorHAnsi"/>
        </w:rPr>
      </w:pPr>
    </w:p>
    <w:p w:rsidR="0042588B" w:rsidRDefault="0089325E" w:rsidP="007D27A0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  <w:b/>
        </w:rPr>
        <w:t>Hours/Weeks:</w:t>
      </w:r>
      <w:r>
        <w:rPr>
          <w:rFonts w:asciiTheme="minorHAnsi" w:hAnsiTheme="minorHAnsi"/>
          <w:b/>
        </w:rPr>
        <w:tab/>
      </w:r>
      <w:r w:rsidR="0042588B" w:rsidRPr="0042588B">
        <w:rPr>
          <w:rFonts w:asciiTheme="minorHAnsi" w:hAnsiTheme="minorHAnsi"/>
        </w:rPr>
        <w:t>1 or</w:t>
      </w:r>
      <w:r w:rsidR="0042588B">
        <w:rPr>
          <w:rFonts w:asciiTheme="minorHAnsi" w:hAnsiTheme="minorHAnsi"/>
          <w:b/>
        </w:rPr>
        <w:t xml:space="preserve"> </w:t>
      </w:r>
      <w:r w:rsidR="0042588B">
        <w:rPr>
          <w:rFonts w:asciiTheme="minorHAnsi" w:hAnsiTheme="minorHAnsi"/>
        </w:rPr>
        <w:t>2 days per week, actual days to be agreed</w:t>
      </w:r>
    </w:p>
    <w:p w:rsidR="0089325E" w:rsidRDefault="0042588B" w:rsidP="0042588B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 hours </w:t>
      </w:r>
      <w:r w:rsidR="007D27A0" w:rsidRPr="0089325E">
        <w:rPr>
          <w:rFonts w:asciiTheme="minorHAnsi" w:hAnsiTheme="minorHAnsi"/>
        </w:rPr>
        <w:t>per week</w:t>
      </w:r>
      <w:r w:rsidR="0089325E">
        <w:rPr>
          <w:rFonts w:asciiTheme="minorHAnsi" w:hAnsiTheme="minorHAnsi"/>
        </w:rPr>
        <w:t xml:space="preserve"> for 39 weeks per year (term-time)</w:t>
      </w:r>
    </w:p>
    <w:p w:rsidR="007D27A0" w:rsidRDefault="007D27A0" w:rsidP="009B0270">
      <w:pPr>
        <w:ind w:left="2880"/>
        <w:rPr>
          <w:rFonts w:asciiTheme="minorHAnsi" w:hAnsiTheme="minorHAnsi"/>
        </w:rPr>
      </w:pPr>
      <w:r w:rsidRPr="0089325E">
        <w:rPr>
          <w:rFonts w:asciiTheme="minorHAnsi" w:hAnsiTheme="minorHAnsi"/>
        </w:rPr>
        <w:t>8.30</w:t>
      </w:r>
      <w:r w:rsidR="0089325E">
        <w:rPr>
          <w:rFonts w:asciiTheme="minorHAnsi" w:hAnsiTheme="minorHAnsi"/>
        </w:rPr>
        <w:t xml:space="preserve">am </w:t>
      </w:r>
      <w:r w:rsidRPr="0089325E">
        <w:rPr>
          <w:rFonts w:asciiTheme="minorHAnsi" w:hAnsiTheme="minorHAnsi"/>
        </w:rPr>
        <w:t>–</w:t>
      </w:r>
      <w:r w:rsidR="0089325E">
        <w:rPr>
          <w:rFonts w:asciiTheme="minorHAnsi" w:hAnsiTheme="minorHAnsi"/>
        </w:rPr>
        <w:t xml:space="preserve"> </w:t>
      </w:r>
      <w:r w:rsidRPr="0089325E">
        <w:rPr>
          <w:rFonts w:asciiTheme="minorHAnsi" w:hAnsiTheme="minorHAnsi"/>
        </w:rPr>
        <w:t>4.30</w:t>
      </w:r>
      <w:r w:rsidR="0089325E">
        <w:rPr>
          <w:rFonts w:asciiTheme="minorHAnsi" w:hAnsiTheme="minorHAnsi"/>
        </w:rPr>
        <w:t>pm with ½ hour lunch break</w:t>
      </w:r>
      <w:r w:rsidR="005D7033">
        <w:rPr>
          <w:rFonts w:asciiTheme="minorHAnsi" w:hAnsiTheme="minorHAnsi"/>
        </w:rPr>
        <w:t xml:space="preserve"> </w:t>
      </w:r>
    </w:p>
    <w:p w:rsidR="00CF4A20" w:rsidRPr="0089325E" w:rsidRDefault="00CF4A20" w:rsidP="00CF4A20">
      <w:pPr>
        <w:ind w:left="2880"/>
        <w:rPr>
          <w:rFonts w:asciiTheme="minorHAnsi" w:hAnsiTheme="minorHAnsi"/>
          <w:b/>
        </w:rPr>
      </w:pPr>
    </w:p>
    <w:p w:rsidR="00406CF5" w:rsidRPr="0089325E" w:rsidRDefault="00406CF5" w:rsidP="002756B1">
      <w:pPr>
        <w:ind w:left="2880" w:hanging="2880"/>
        <w:rPr>
          <w:rFonts w:asciiTheme="minorHAnsi" w:hAnsiTheme="minorHAnsi"/>
        </w:rPr>
      </w:pPr>
      <w:r w:rsidRPr="0089325E">
        <w:rPr>
          <w:rFonts w:asciiTheme="minorHAnsi" w:hAnsiTheme="minorHAnsi"/>
          <w:b/>
        </w:rPr>
        <w:t>Responsible to:</w:t>
      </w:r>
      <w:r w:rsidRPr="0089325E">
        <w:rPr>
          <w:rFonts w:asciiTheme="minorHAnsi" w:hAnsiTheme="minorHAnsi"/>
          <w:b/>
        </w:rPr>
        <w:tab/>
      </w:r>
      <w:r w:rsidR="002756B1" w:rsidRPr="0089325E">
        <w:rPr>
          <w:rFonts w:asciiTheme="minorHAnsi" w:hAnsiTheme="minorHAnsi"/>
        </w:rPr>
        <w:t>Deputy Headteacher: Student Standards, Achievement and Well Being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406CF5" w:rsidRPr="0089325E" w:rsidRDefault="00406CF5" w:rsidP="00406CF5">
      <w:pPr>
        <w:ind w:left="2880" w:hanging="2880"/>
        <w:rPr>
          <w:rFonts w:asciiTheme="minorHAnsi" w:hAnsiTheme="minorHAnsi"/>
        </w:rPr>
      </w:pPr>
      <w:r w:rsidRPr="0089325E">
        <w:rPr>
          <w:rFonts w:asciiTheme="minorHAnsi" w:hAnsiTheme="minorHAnsi"/>
          <w:b/>
        </w:rPr>
        <w:t>Purpose of Job:</w:t>
      </w:r>
      <w:r w:rsidRPr="0089325E">
        <w:rPr>
          <w:rFonts w:asciiTheme="minorHAnsi" w:hAnsiTheme="minorHAnsi"/>
        </w:rPr>
        <w:tab/>
        <w:t xml:space="preserve">To work in partnership </w:t>
      </w:r>
      <w:r w:rsidR="00B32ECC">
        <w:rPr>
          <w:rFonts w:asciiTheme="minorHAnsi" w:hAnsiTheme="minorHAnsi"/>
        </w:rPr>
        <w:t xml:space="preserve">initially </w:t>
      </w:r>
      <w:r w:rsidR="00797FF8" w:rsidRPr="0089325E">
        <w:rPr>
          <w:rFonts w:asciiTheme="minorHAnsi" w:hAnsiTheme="minorHAnsi"/>
        </w:rPr>
        <w:t xml:space="preserve">with the </w:t>
      </w:r>
      <w:r w:rsidR="00B32ECC">
        <w:rPr>
          <w:rFonts w:asciiTheme="minorHAnsi" w:hAnsiTheme="minorHAnsi"/>
        </w:rPr>
        <w:t xml:space="preserve">Pastoral </w:t>
      </w:r>
      <w:r w:rsidR="00797FF8" w:rsidRPr="0089325E">
        <w:rPr>
          <w:rFonts w:asciiTheme="minorHAnsi" w:hAnsiTheme="minorHAnsi"/>
        </w:rPr>
        <w:t>Team to supervise students who have been internally excluded</w:t>
      </w:r>
      <w:r w:rsidR="00B32ECC">
        <w:rPr>
          <w:rFonts w:asciiTheme="minorHAnsi" w:hAnsiTheme="minorHAnsi"/>
        </w:rPr>
        <w:t xml:space="preserve"> from lessons </w:t>
      </w:r>
      <w:r w:rsidR="00797FF8" w:rsidRPr="0089325E">
        <w:rPr>
          <w:rFonts w:asciiTheme="minorHAnsi" w:hAnsiTheme="minorHAnsi"/>
        </w:rPr>
        <w:t xml:space="preserve">in line with the School’s discipline policy and to coordinate the </w:t>
      </w:r>
      <w:r w:rsidR="00B32ECC">
        <w:rPr>
          <w:rFonts w:asciiTheme="minorHAnsi" w:hAnsiTheme="minorHAnsi"/>
        </w:rPr>
        <w:t>administrative procedures associated with this.</w:t>
      </w:r>
    </w:p>
    <w:p w:rsidR="00406CF5" w:rsidRPr="0089325E" w:rsidRDefault="00406CF5" w:rsidP="00406CF5">
      <w:pPr>
        <w:ind w:left="2880" w:hanging="2880"/>
        <w:rPr>
          <w:rFonts w:asciiTheme="minorHAnsi" w:hAnsiTheme="minorHAnsi"/>
        </w:rPr>
      </w:pPr>
    </w:p>
    <w:p w:rsidR="00406CF5" w:rsidRPr="0089325E" w:rsidRDefault="0089325E" w:rsidP="00406CF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Duties: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0E0B03" w:rsidRDefault="002756B1" w:rsidP="00406CF5">
      <w:pPr>
        <w:numPr>
          <w:ilvl w:val="0"/>
          <w:numId w:val="8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D</w:t>
      </w:r>
      <w:r w:rsidR="00797FF8" w:rsidRPr="0089325E">
        <w:rPr>
          <w:rFonts w:asciiTheme="minorHAnsi" w:hAnsiTheme="minorHAnsi"/>
        </w:rPr>
        <w:t>aily supervision of students</w:t>
      </w:r>
      <w:r w:rsidR="000E0B03" w:rsidRPr="0089325E">
        <w:rPr>
          <w:rFonts w:asciiTheme="minorHAnsi" w:hAnsiTheme="minorHAnsi"/>
        </w:rPr>
        <w:t xml:space="preserve"> in the Internal </w:t>
      </w:r>
      <w:r w:rsidR="004F1277">
        <w:rPr>
          <w:rFonts w:asciiTheme="minorHAnsi" w:hAnsiTheme="minorHAnsi"/>
        </w:rPr>
        <w:t>Ex</w:t>
      </w:r>
      <w:r w:rsidR="000E0B03" w:rsidRPr="0089325E">
        <w:rPr>
          <w:rFonts w:asciiTheme="minorHAnsi" w:hAnsiTheme="minorHAnsi"/>
        </w:rPr>
        <w:t>clusion Room.</w:t>
      </w:r>
    </w:p>
    <w:p w:rsidR="00B32ECC" w:rsidRDefault="00B32ECC" w:rsidP="00B32ECC">
      <w:pPr>
        <w:rPr>
          <w:rFonts w:asciiTheme="minorHAnsi" w:hAnsiTheme="minorHAnsi"/>
        </w:rPr>
      </w:pPr>
    </w:p>
    <w:p w:rsidR="00406CF5" w:rsidRPr="0089325E" w:rsidRDefault="000E0B03" w:rsidP="00406CF5">
      <w:pPr>
        <w:numPr>
          <w:ilvl w:val="0"/>
          <w:numId w:val="8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E</w:t>
      </w:r>
      <w:r w:rsidR="002D6407" w:rsidRPr="0089325E">
        <w:rPr>
          <w:rFonts w:asciiTheme="minorHAnsi" w:hAnsiTheme="minorHAnsi"/>
        </w:rPr>
        <w:t>nsur</w:t>
      </w:r>
      <w:r w:rsidRPr="0089325E">
        <w:rPr>
          <w:rFonts w:asciiTheme="minorHAnsi" w:hAnsiTheme="minorHAnsi"/>
        </w:rPr>
        <w:t xml:space="preserve">e high </w:t>
      </w:r>
      <w:r w:rsidR="002D6407" w:rsidRPr="0089325E">
        <w:rPr>
          <w:rFonts w:asciiTheme="minorHAnsi" w:hAnsiTheme="minorHAnsi"/>
        </w:rPr>
        <w:t xml:space="preserve">standards of </w:t>
      </w:r>
      <w:r w:rsidRPr="0089325E">
        <w:rPr>
          <w:rFonts w:asciiTheme="minorHAnsi" w:hAnsiTheme="minorHAnsi"/>
        </w:rPr>
        <w:t xml:space="preserve">behaviour in the Internal </w:t>
      </w:r>
      <w:r w:rsidR="004F1277">
        <w:rPr>
          <w:rFonts w:asciiTheme="minorHAnsi" w:hAnsiTheme="minorHAnsi"/>
        </w:rPr>
        <w:t>Ex</w:t>
      </w:r>
      <w:r w:rsidRPr="0089325E">
        <w:rPr>
          <w:rFonts w:asciiTheme="minorHAnsi" w:hAnsiTheme="minorHAnsi"/>
        </w:rPr>
        <w:t>clusion Room.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406CF5" w:rsidRPr="0089325E" w:rsidRDefault="000E0B03" w:rsidP="00406CF5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E</w:t>
      </w:r>
      <w:r w:rsidR="00797FF8" w:rsidRPr="0089325E">
        <w:rPr>
          <w:rFonts w:asciiTheme="minorHAnsi" w:hAnsiTheme="minorHAnsi"/>
        </w:rPr>
        <w:t>nsure that students have appropriate work provided by their teachers</w:t>
      </w:r>
      <w:r w:rsidR="002D6407" w:rsidRPr="0089325E">
        <w:rPr>
          <w:rFonts w:asciiTheme="minorHAnsi" w:hAnsiTheme="minorHAnsi"/>
        </w:rPr>
        <w:t xml:space="preserve"> and that an acceptable quantity is produced and returned to the member of staff for marking</w:t>
      </w:r>
      <w:r w:rsidR="004E7402" w:rsidRPr="0089325E">
        <w:rPr>
          <w:rFonts w:asciiTheme="minorHAnsi" w:hAnsiTheme="minorHAnsi"/>
        </w:rPr>
        <w:t>.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406CF5" w:rsidRPr="0089325E" w:rsidRDefault="000E0B03" w:rsidP="00406CF5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E</w:t>
      </w:r>
      <w:r w:rsidR="00406CF5" w:rsidRPr="0089325E">
        <w:rPr>
          <w:rFonts w:asciiTheme="minorHAnsi" w:hAnsiTheme="minorHAnsi"/>
        </w:rPr>
        <w:t xml:space="preserve">stablish positive relationships with </w:t>
      </w:r>
      <w:r w:rsidRPr="0089325E">
        <w:rPr>
          <w:rFonts w:asciiTheme="minorHAnsi" w:hAnsiTheme="minorHAnsi"/>
        </w:rPr>
        <w:t xml:space="preserve">students placed in the Internal </w:t>
      </w:r>
      <w:r w:rsidR="004F1277">
        <w:rPr>
          <w:rFonts w:asciiTheme="minorHAnsi" w:hAnsiTheme="minorHAnsi"/>
        </w:rPr>
        <w:t>Ex</w:t>
      </w:r>
      <w:r w:rsidRPr="0089325E">
        <w:rPr>
          <w:rFonts w:asciiTheme="minorHAnsi" w:hAnsiTheme="minorHAnsi"/>
        </w:rPr>
        <w:t>clusion Room.</w:t>
      </w:r>
    </w:p>
    <w:p w:rsidR="000E0B03" w:rsidRPr="0089325E" w:rsidRDefault="000E0B03" w:rsidP="000E0B03">
      <w:pPr>
        <w:rPr>
          <w:rFonts w:asciiTheme="minorHAnsi" w:hAnsiTheme="minorHAnsi"/>
        </w:rPr>
      </w:pPr>
    </w:p>
    <w:p w:rsidR="000E0B03" w:rsidRPr="0089325E" w:rsidRDefault="000E0B03" w:rsidP="000E0B03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Write reports and keep detailed records on students placed in the Internal Exclusion Room.</w:t>
      </w:r>
    </w:p>
    <w:p w:rsidR="000E0B03" w:rsidRPr="0089325E" w:rsidRDefault="000E0B03" w:rsidP="000E0B03">
      <w:pPr>
        <w:rPr>
          <w:rFonts w:asciiTheme="minorHAnsi" w:hAnsiTheme="minorHAnsi"/>
        </w:rPr>
      </w:pPr>
    </w:p>
    <w:p w:rsidR="000E0B03" w:rsidRPr="0089325E" w:rsidRDefault="000E0B03" w:rsidP="000E0B03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Collation and analysis of behaviour data.</w:t>
      </w:r>
    </w:p>
    <w:p w:rsidR="005B5A57" w:rsidRPr="0089325E" w:rsidRDefault="005B5A57" w:rsidP="005B5A57">
      <w:pPr>
        <w:rPr>
          <w:rFonts w:asciiTheme="minorHAnsi" w:hAnsiTheme="minorHAnsi"/>
        </w:rPr>
      </w:pPr>
    </w:p>
    <w:p w:rsidR="005B5A57" w:rsidRPr="0089325E" w:rsidRDefault="000E0B03" w:rsidP="005B5A57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C</w:t>
      </w:r>
      <w:r w:rsidR="005B5A57" w:rsidRPr="0089325E">
        <w:rPr>
          <w:rFonts w:asciiTheme="minorHAnsi" w:hAnsiTheme="minorHAnsi"/>
        </w:rPr>
        <w:t>oordinate and attend relevant school meetings as required</w:t>
      </w:r>
      <w:r w:rsidR="004E7402" w:rsidRPr="0089325E">
        <w:rPr>
          <w:rFonts w:asciiTheme="minorHAnsi" w:hAnsiTheme="minorHAnsi"/>
        </w:rPr>
        <w:t>.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406CF5" w:rsidRPr="0089325E" w:rsidRDefault="000E0B03" w:rsidP="00406CF5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L</w:t>
      </w:r>
      <w:r w:rsidR="00406CF5" w:rsidRPr="0089325E">
        <w:rPr>
          <w:rFonts w:asciiTheme="minorHAnsi" w:hAnsiTheme="minorHAnsi"/>
        </w:rPr>
        <w:t>iaise with staff and other relevant professionals</w:t>
      </w:r>
      <w:r w:rsidRPr="0089325E">
        <w:rPr>
          <w:rFonts w:asciiTheme="minorHAnsi" w:hAnsiTheme="minorHAnsi"/>
        </w:rPr>
        <w:t xml:space="preserve">, providing </w:t>
      </w:r>
      <w:r w:rsidR="00406CF5" w:rsidRPr="0089325E">
        <w:rPr>
          <w:rFonts w:asciiTheme="minorHAnsi" w:hAnsiTheme="minorHAnsi"/>
        </w:rPr>
        <w:t xml:space="preserve">information about </w:t>
      </w:r>
      <w:r w:rsidRPr="0089325E">
        <w:rPr>
          <w:rFonts w:asciiTheme="minorHAnsi" w:hAnsiTheme="minorHAnsi"/>
        </w:rPr>
        <w:t xml:space="preserve">students placed in the Internal Exclusion Room </w:t>
      </w:r>
      <w:r w:rsidR="00406CF5" w:rsidRPr="0089325E">
        <w:rPr>
          <w:rFonts w:asciiTheme="minorHAnsi" w:hAnsiTheme="minorHAnsi"/>
        </w:rPr>
        <w:t>as appropriate</w:t>
      </w:r>
      <w:r w:rsidRPr="0089325E">
        <w:rPr>
          <w:rFonts w:asciiTheme="minorHAnsi" w:hAnsiTheme="minorHAnsi"/>
        </w:rPr>
        <w:t>.</w:t>
      </w:r>
    </w:p>
    <w:p w:rsidR="00D97F36" w:rsidRPr="0089325E" w:rsidRDefault="00D97F36" w:rsidP="00D97F36">
      <w:pPr>
        <w:rPr>
          <w:rFonts w:asciiTheme="minorHAnsi" w:hAnsiTheme="minorHAnsi"/>
        </w:rPr>
      </w:pPr>
    </w:p>
    <w:p w:rsidR="00D97F36" w:rsidRPr="0089325E" w:rsidRDefault="00D97F36" w:rsidP="00406CF5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To help supervise after-school activities as required</w:t>
      </w:r>
      <w:r w:rsidR="00B63109" w:rsidRPr="0089325E">
        <w:rPr>
          <w:rFonts w:asciiTheme="minorHAnsi" w:hAnsiTheme="minorHAnsi"/>
        </w:rPr>
        <w:t xml:space="preserve"> including monitoring of attendance at detentions.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406CF5" w:rsidRPr="0089325E" w:rsidRDefault="000E0B03" w:rsidP="00406CF5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T</w:t>
      </w:r>
      <w:r w:rsidR="00406CF5" w:rsidRPr="0089325E">
        <w:rPr>
          <w:rFonts w:asciiTheme="minorHAnsi" w:hAnsiTheme="minorHAnsi"/>
        </w:rPr>
        <w:t>o understand and apply school policies in relation to health, safety and welfare</w:t>
      </w:r>
      <w:r w:rsidR="004E7402" w:rsidRPr="0089325E">
        <w:rPr>
          <w:rFonts w:asciiTheme="minorHAnsi" w:hAnsiTheme="minorHAnsi"/>
        </w:rPr>
        <w:t>.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406CF5" w:rsidRPr="0089325E" w:rsidRDefault="000E0B03" w:rsidP="00406CF5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A</w:t>
      </w:r>
      <w:r w:rsidR="00406CF5" w:rsidRPr="0089325E">
        <w:rPr>
          <w:rFonts w:asciiTheme="minorHAnsi" w:hAnsiTheme="minorHAnsi"/>
        </w:rPr>
        <w:t>ttend relevant training</w:t>
      </w:r>
      <w:r w:rsidRPr="0089325E">
        <w:rPr>
          <w:rFonts w:asciiTheme="minorHAnsi" w:hAnsiTheme="minorHAnsi"/>
        </w:rPr>
        <w:t xml:space="preserve"> as appropriate.</w:t>
      </w:r>
    </w:p>
    <w:p w:rsidR="00406CF5" w:rsidRPr="0089325E" w:rsidRDefault="00406CF5" w:rsidP="00406CF5">
      <w:pPr>
        <w:rPr>
          <w:rFonts w:asciiTheme="minorHAnsi" w:hAnsiTheme="minorHAnsi"/>
        </w:rPr>
      </w:pPr>
    </w:p>
    <w:p w:rsidR="00406CF5" w:rsidRPr="0089325E" w:rsidRDefault="000E0B03" w:rsidP="00406CF5">
      <w:pPr>
        <w:numPr>
          <w:ilvl w:val="0"/>
          <w:numId w:val="1"/>
        </w:numPr>
        <w:rPr>
          <w:rFonts w:asciiTheme="minorHAnsi" w:hAnsiTheme="minorHAnsi"/>
        </w:rPr>
      </w:pPr>
      <w:r w:rsidRPr="0089325E">
        <w:rPr>
          <w:rFonts w:asciiTheme="minorHAnsi" w:hAnsiTheme="minorHAnsi"/>
        </w:rPr>
        <w:t>T</w:t>
      </w:r>
      <w:r w:rsidR="00406CF5" w:rsidRPr="0089325E">
        <w:rPr>
          <w:rFonts w:asciiTheme="minorHAnsi" w:hAnsiTheme="minorHAnsi"/>
        </w:rPr>
        <w:t>o respect confidentiality at all times</w:t>
      </w:r>
      <w:r w:rsidRPr="0089325E">
        <w:rPr>
          <w:rFonts w:asciiTheme="minorHAnsi" w:hAnsiTheme="minorHAnsi"/>
        </w:rPr>
        <w:t>.</w:t>
      </w:r>
    </w:p>
    <w:p w:rsidR="00CF4A20" w:rsidRDefault="000E0B03" w:rsidP="00CF4A20">
      <w:pPr>
        <w:pStyle w:val="Title"/>
        <w:jc w:val="left"/>
        <w:rPr>
          <w:rFonts w:asciiTheme="minorHAnsi" w:hAnsiTheme="minorHAnsi"/>
          <w:b w:val="0"/>
        </w:rPr>
      </w:pPr>
      <w:r w:rsidRPr="0089325E">
        <w:rPr>
          <w:rFonts w:asciiTheme="minorHAnsi" w:hAnsiTheme="minorHAnsi"/>
        </w:rPr>
        <w:t>The duties may be varied to meet the changing needs of the school at the reasonable direction of the Headteacher.</w:t>
      </w:r>
      <w:r w:rsidR="00CF4A20">
        <w:rPr>
          <w:rFonts w:asciiTheme="minorHAnsi" w:hAnsiTheme="minorHAnsi"/>
        </w:rPr>
        <w:br w:type="page"/>
      </w:r>
      <w:bookmarkStart w:id="0" w:name="_GoBack"/>
      <w:bookmarkEnd w:id="0"/>
    </w:p>
    <w:p w:rsidR="00CF4A20" w:rsidRPr="00CF4A20" w:rsidRDefault="00CF4A20" w:rsidP="00CF4A20">
      <w:pPr>
        <w:rPr>
          <w:rFonts w:asciiTheme="minorHAnsi" w:hAnsiTheme="minorHAnsi"/>
          <w:b/>
          <w:szCs w:val="24"/>
          <w:u w:val="single"/>
        </w:rPr>
      </w:pPr>
      <w:r w:rsidRPr="00CF4A20">
        <w:rPr>
          <w:rFonts w:asciiTheme="minorHAnsi" w:hAnsiTheme="minorHAnsi"/>
          <w:b/>
          <w:szCs w:val="24"/>
          <w:u w:val="single"/>
        </w:rPr>
        <w:lastRenderedPageBreak/>
        <w:t>Internal Exclusion Supervisor – Person Specification</w:t>
      </w:r>
    </w:p>
    <w:tbl>
      <w:tblPr>
        <w:tblStyle w:val="TableGrid"/>
        <w:tblpPr w:leftFromText="180" w:rightFromText="180" w:vertAnchor="text" w:horzAnchor="margin" w:tblpXSpec="center" w:tblpY="180"/>
        <w:tblW w:w="10908" w:type="dxa"/>
        <w:tblLook w:val="01E0" w:firstRow="1" w:lastRow="1" w:firstColumn="1" w:lastColumn="1" w:noHBand="0" w:noVBand="0"/>
      </w:tblPr>
      <w:tblGrid>
        <w:gridCol w:w="3168"/>
        <w:gridCol w:w="3060"/>
        <w:gridCol w:w="4680"/>
      </w:tblGrid>
      <w:tr w:rsidR="00CF4A20" w:rsidRPr="00CF4A20" w:rsidTr="006366B0">
        <w:tc>
          <w:tcPr>
            <w:tcW w:w="3168" w:type="dxa"/>
          </w:tcPr>
          <w:p w:rsidR="00CF4A20" w:rsidRPr="00CF4A20" w:rsidRDefault="00CF4A20" w:rsidP="00CF4A2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>Detail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>Examples</w:t>
            </w:r>
          </w:p>
        </w:tc>
      </w:tr>
      <w:tr w:rsidR="00CF4A20" w:rsidRPr="00CF4A20" w:rsidTr="006366B0">
        <w:tc>
          <w:tcPr>
            <w:tcW w:w="3168" w:type="dxa"/>
            <w:vMerge w:val="restart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>Qualifications &amp; Experience</w:t>
            </w: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Specific qualifications &amp; experience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Successful experience of working with children in an education, health or social care environment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Recent professional training in behaviour management and/or parent/carer support e.g. Webster Stratton training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Education to NVQ level 4 or equivalent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Completion of DCSF induction programme.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Knowledge of relevant policies and procedures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Good working knowledge of policies relating to behaviour, inclusion and SEN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Literacy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NVQ Level 4 in English or equivalent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Numeracy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NVQ Level 4 in Maths or equivalent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Technology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 xml:space="preserve">Ability to use ICT communication and </w:t>
            </w:r>
            <w:smartTag w:uri="urn:schemas-microsoft-com:office:smarttags" w:element="PersonName">
              <w:r w:rsidRPr="00CF4A20">
                <w:rPr>
                  <w:rFonts w:asciiTheme="minorHAnsi" w:hAnsiTheme="minorHAnsi"/>
                  <w:szCs w:val="24"/>
                </w:rPr>
                <w:t>admin</w:t>
              </w:r>
            </w:smartTag>
            <w:r w:rsidRPr="00CF4A20">
              <w:rPr>
                <w:rFonts w:asciiTheme="minorHAnsi" w:hAnsiTheme="minorHAnsi"/>
                <w:szCs w:val="24"/>
              </w:rPr>
              <w:t xml:space="preserve">istrative systems effectively </w:t>
            </w:r>
          </w:p>
        </w:tc>
      </w:tr>
      <w:tr w:rsidR="00CF4A20" w:rsidRPr="00CF4A20" w:rsidTr="006366B0">
        <w:tc>
          <w:tcPr>
            <w:tcW w:w="3168" w:type="dxa"/>
            <w:vMerge w:val="restart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>Communication</w:t>
            </w: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Written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 xml:space="preserve">Ability to write detailed and complex reports, plans, and letters 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Verbal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use clear language to communicate information unambiguously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listen effectively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Languages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Specialist language/communication skills if appropriate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Negotiating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negotiate effectively with adults and children and to exercise influence</w:t>
            </w:r>
          </w:p>
        </w:tc>
      </w:tr>
      <w:tr w:rsidR="00CF4A20" w:rsidRPr="00CF4A20" w:rsidTr="006366B0">
        <w:tc>
          <w:tcPr>
            <w:tcW w:w="3168" w:type="dxa"/>
            <w:vMerge w:val="restart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>Working with children</w:t>
            </w: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Behaviour Management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demonstrate a range of highly effective behaviour management strategies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SEN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 xml:space="preserve">Detailed knowledge of  SEN strategies and policies, including IEPs, ‘partnership plans etc. 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Curriculum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Knowledge and experience of developing individual education plans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 xml:space="preserve">Ability to create and deliver training and workshops for parents/carers 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Child Development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Excellent understanding of child development and learning processes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assess progress and performance and recommend appropriate strategies to support development and inclusion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Health &amp; Well being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 xml:space="preserve">Understand and support the importance of physical and emotional wellbeing  </w:t>
            </w:r>
          </w:p>
        </w:tc>
      </w:tr>
      <w:tr w:rsidR="00CF4A20" w:rsidRPr="00CF4A20" w:rsidTr="006366B0">
        <w:tc>
          <w:tcPr>
            <w:tcW w:w="3168" w:type="dxa"/>
            <w:vMerge w:val="restart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>Working with others</w:t>
            </w: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Working with partners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make a proactive contribution to the work of the team supporting children, their families and carers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work with parents and carers to improve support for children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Relationships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establish rapport and respectful and trusting relationships with children, their families and carers and other adults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Team work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make an distinctive contribution to the work of a team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Information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 xml:space="preserve">Contribute to the development and implementation of effective systems to share and safeguard information </w:t>
            </w:r>
          </w:p>
        </w:tc>
      </w:tr>
      <w:tr w:rsidR="00CF4A20" w:rsidRPr="00CF4A20" w:rsidTr="006366B0">
        <w:tc>
          <w:tcPr>
            <w:tcW w:w="3168" w:type="dxa"/>
            <w:vMerge w:val="restart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 xml:space="preserve">Responsibilities 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Organisational skills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Excellent organisational skills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remain calm under pressure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Line Management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manage and support the work of others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Time Management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plan and manage own time effectively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meet deadlines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Creativity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Demonstrate a highly creative approach to supporting children and an ability to resolve problems independently</w:t>
            </w:r>
          </w:p>
        </w:tc>
      </w:tr>
      <w:tr w:rsidR="00CF4A20" w:rsidRPr="00CF4A20" w:rsidTr="006366B0">
        <w:tc>
          <w:tcPr>
            <w:tcW w:w="3168" w:type="dxa"/>
            <w:vMerge w:val="restart"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  <w:r w:rsidRPr="00CF4A20">
              <w:rPr>
                <w:rFonts w:asciiTheme="minorHAnsi" w:hAnsiTheme="minorHAnsi"/>
                <w:b/>
                <w:szCs w:val="24"/>
              </w:rPr>
              <w:t>General</w:t>
            </w: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Equalities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Display a sound understanding of equality issues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Health &amp; Safety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Good understanding of Health &amp; Safety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Child Protection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Developed understanding and effective implementation of child protection procedures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Confidentiality/Data Protection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Understand and comply with procedures and legislation relating to confidentiality</w:t>
            </w:r>
          </w:p>
        </w:tc>
      </w:tr>
      <w:tr w:rsidR="00CF4A20" w:rsidRPr="00CF4A20" w:rsidTr="006366B0">
        <w:tc>
          <w:tcPr>
            <w:tcW w:w="3168" w:type="dxa"/>
            <w:vMerge/>
          </w:tcPr>
          <w:p w:rsidR="00CF4A20" w:rsidRPr="00CF4A20" w:rsidRDefault="00CF4A20" w:rsidP="006366B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06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CPD</w:t>
            </w:r>
          </w:p>
        </w:tc>
        <w:tc>
          <w:tcPr>
            <w:tcW w:w="4680" w:type="dxa"/>
          </w:tcPr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Demonstrate a clear commitment to develop and learn in the role</w:t>
            </w:r>
          </w:p>
          <w:p w:rsidR="00CF4A20" w:rsidRPr="00CF4A20" w:rsidRDefault="00CF4A20" w:rsidP="006366B0">
            <w:pPr>
              <w:rPr>
                <w:rFonts w:asciiTheme="minorHAnsi" w:hAnsiTheme="minorHAnsi"/>
                <w:szCs w:val="24"/>
              </w:rPr>
            </w:pPr>
            <w:r w:rsidRPr="00CF4A20">
              <w:rPr>
                <w:rFonts w:asciiTheme="minorHAnsi" w:hAnsiTheme="minorHAnsi"/>
                <w:szCs w:val="24"/>
              </w:rPr>
              <w:t>Ability to effectively evaluate own performance</w:t>
            </w:r>
          </w:p>
        </w:tc>
      </w:tr>
    </w:tbl>
    <w:p w:rsidR="00550C29" w:rsidRPr="00CF4A20" w:rsidRDefault="00550C29" w:rsidP="00CF4A20">
      <w:pPr>
        <w:pStyle w:val="Title"/>
        <w:jc w:val="left"/>
        <w:rPr>
          <w:rFonts w:asciiTheme="minorHAnsi" w:hAnsiTheme="minorHAnsi"/>
          <w:b w:val="0"/>
          <w:szCs w:val="24"/>
        </w:rPr>
      </w:pPr>
    </w:p>
    <w:sectPr w:rsidR="00550C29" w:rsidRPr="00CF4A20" w:rsidSect="0027130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C6" w:rsidRDefault="00CA2AC6">
      <w:r>
        <w:separator/>
      </w:r>
    </w:p>
  </w:endnote>
  <w:endnote w:type="continuationSeparator" w:id="0">
    <w:p w:rsidR="00CA2AC6" w:rsidRDefault="00CA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A0" w:rsidRDefault="00B32ECC">
    <w:pPr>
      <w:pStyle w:val="Footer"/>
    </w:pPr>
    <w:r>
      <w:t>J</w:t>
    </w:r>
    <w:r w:rsidR="004A490C">
      <w:t xml:space="preserve">an </w:t>
    </w:r>
    <w:r w:rsidR="0042588B">
      <w:t>2020</w:t>
    </w:r>
  </w:p>
  <w:p w:rsidR="00CE01A0" w:rsidRDefault="00CE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C6" w:rsidRDefault="00CA2AC6">
      <w:r>
        <w:separator/>
      </w:r>
    </w:p>
  </w:footnote>
  <w:footnote w:type="continuationSeparator" w:id="0">
    <w:p w:rsidR="00CA2AC6" w:rsidRDefault="00CA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7D5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E6F776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121DD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528E550D"/>
    <w:multiLevelType w:val="hybridMultilevel"/>
    <w:tmpl w:val="49302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DF6D69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6577D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786161C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5"/>
    <w:rsid w:val="000E0B03"/>
    <w:rsid w:val="00126281"/>
    <w:rsid w:val="00186B4E"/>
    <w:rsid w:val="001D297A"/>
    <w:rsid w:val="00201B35"/>
    <w:rsid w:val="0027130F"/>
    <w:rsid w:val="002756B1"/>
    <w:rsid w:val="002D6407"/>
    <w:rsid w:val="00406CF5"/>
    <w:rsid w:val="0042588B"/>
    <w:rsid w:val="004A490C"/>
    <w:rsid w:val="004E7402"/>
    <w:rsid w:val="004F1277"/>
    <w:rsid w:val="00550C29"/>
    <w:rsid w:val="005B5A57"/>
    <w:rsid w:val="005D7033"/>
    <w:rsid w:val="006831EB"/>
    <w:rsid w:val="006E2821"/>
    <w:rsid w:val="007073D9"/>
    <w:rsid w:val="00783231"/>
    <w:rsid w:val="00797FF8"/>
    <w:rsid w:val="007D27A0"/>
    <w:rsid w:val="0089325E"/>
    <w:rsid w:val="008A25B8"/>
    <w:rsid w:val="009B0270"/>
    <w:rsid w:val="00A53A79"/>
    <w:rsid w:val="00B32ECC"/>
    <w:rsid w:val="00B41E18"/>
    <w:rsid w:val="00B63109"/>
    <w:rsid w:val="00C677BE"/>
    <w:rsid w:val="00CA2AC6"/>
    <w:rsid w:val="00CE01A0"/>
    <w:rsid w:val="00CF4A20"/>
    <w:rsid w:val="00D35657"/>
    <w:rsid w:val="00D37517"/>
    <w:rsid w:val="00D93B1B"/>
    <w:rsid w:val="00D97F36"/>
    <w:rsid w:val="00F11147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10A41A"/>
  <w15:chartTrackingRefBased/>
  <w15:docId w15:val="{6F2BC441-0830-4FD5-BDCA-52276DC6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F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06CF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D29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06CF5"/>
    <w:pPr>
      <w:keepNext/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97A"/>
    <w:pPr>
      <w:jc w:val="center"/>
    </w:pPr>
    <w:rPr>
      <w:rFonts w:ascii="Times New Roman" w:hAnsi="Times New Roman"/>
      <w:b/>
      <w:lang w:eastAsia="en-US"/>
    </w:rPr>
  </w:style>
  <w:style w:type="paragraph" w:styleId="Header">
    <w:name w:val="header"/>
    <w:basedOn w:val="Normal"/>
    <w:rsid w:val="00CE01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01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4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</vt:lpstr>
    </vt:vector>
  </TitlesOfParts>
  <Company>The Gilberd School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subject/>
  <dc:creator>ROGER</dc:creator>
  <cp:keywords/>
  <cp:lastModifiedBy>Alison Tuckwell</cp:lastModifiedBy>
  <cp:revision>2</cp:revision>
  <cp:lastPrinted>2019-01-14T11:32:00Z</cp:lastPrinted>
  <dcterms:created xsi:type="dcterms:W3CDTF">2020-01-17T16:39:00Z</dcterms:created>
  <dcterms:modified xsi:type="dcterms:W3CDTF">2020-01-17T16:39:00Z</dcterms:modified>
</cp:coreProperties>
</file>